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theme="minorHAnsi"/>
          <w:b/>
          <w:spacing w:val="60"/>
          <w:sz w:val="36"/>
        </w:rPr>
        <w:id w:val="-950477767"/>
        <w:docPartObj>
          <w:docPartGallery w:val="Cover Pages"/>
          <w:docPartUnique/>
        </w:docPartObj>
      </w:sdtPr>
      <w:sdtEndPr>
        <w:rPr>
          <w:rFonts w:asciiTheme="majorHAnsi" w:eastAsiaTheme="majorEastAsia" w:hAnsiTheme="majorHAnsi" w:cstheme="majorBidi"/>
          <w:b w:val="0"/>
          <w:color w:val="548DD4" w:themeColor="text2" w:themeTint="99"/>
          <w:spacing w:val="0"/>
          <w:sz w:val="72"/>
          <w:szCs w:val="72"/>
        </w:rPr>
      </w:sdtEndPr>
      <w:sdtContent>
        <w:p w14:paraId="5F714140" w14:textId="6536113C" w:rsidR="00BE3246" w:rsidRDefault="00BE3246">
          <w:pPr>
            <w:pBdr>
              <w:top w:val="single" w:sz="18" w:space="1" w:color="5585BF"/>
              <w:bottom w:val="dotted" w:sz="4" w:space="1" w:color="5585BF"/>
            </w:pBdr>
            <w:spacing w:before="120" w:after="120"/>
            <w:jc w:val="center"/>
            <w:rPr>
              <w:rFonts w:cstheme="minorHAnsi"/>
              <w:b/>
              <w:spacing w:val="60"/>
              <w:sz w:val="36"/>
            </w:rPr>
          </w:pPr>
          <w:r>
            <w:rPr>
              <w:rFonts w:cstheme="minorHAnsi"/>
              <w:b/>
              <w:spacing w:val="60"/>
              <w:sz w:val="36"/>
            </w:rPr>
            <w:t xml:space="preserve">CAMBODIA SANITATION PILOT </w:t>
          </w:r>
          <w:r>
            <w:rPr>
              <w:rFonts w:cstheme="minorHAnsi"/>
              <w:b/>
              <w:color w:val="7F7F7F" w:themeColor="text1" w:themeTint="80"/>
              <w:spacing w:val="60"/>
              <w:sz w:val="36"/>
            </w:rPr>
            <w:t>PROPOSAL</w:t>
          </w:r>
        </w:p>
        <w:p w14:paraId="16E12013" w14:textId="77777777" w:rsidR="00BE3246" w:rsidRDefault="00BE3246">
          <w:pPr>
            <w:tabs>
              <w:tab w:val="left" w:pos="1440"/>
            </w:tabs>
            <w:ind w:left="1440" w:hanging="1440"/>
            <w:contextualSpacing/>
            <w:rPr>
              <w:rFonts w:cstheme="minorHAnsi"/>
              <w:b/>
            </w:rPr>
          </w:pPr>
          <w:r>
            <w:rPr>
              <w:rFonts w:cstheme="minorHAnsi"/>
              <w:b/>
            </w:rPr>
            <w:t>Prepared for:</w:t>
          </w:r>
          <w:r>
            <w:rPr>
              <w:rFonts w:cstheme="minorHAnsi"/>
              <w:b/>
            </w:rPr>
            <w:tab/>
          </w:r>
        </w:p>
        <w:p w14:paraId="6497DBC9" w14:textId="77777777" w:rsidR="00BE3246" w:rsidRDefault="00BE3246">
          <w:pPr>
            <w:tabs>
              <w:tab w:val="left" w:pos="1440"/>
            </w:tabs>
            <w:ind w:left="1440" w:hanging="1440"/>
            <w:contextualSpacing/>
            <w:rPr>
              <w:rFonts w:cstheme="minorHAnsi"/>
              <w:b/>
            </w:rPr>
          </w:pPr>
          <w:r>
            <w:rPr>
              <w:rFonts w:cstheme="minorHAnsi"/>
              <w:b/>
            </w:rPr>
            <w:t xml:space="preserve">Prepared by: </w:t>
          </w:r>
          <w:r>
            <w:rPr>
              <w:rFonts w:cstheme="minorHAnsi"/>
              <w:b/>
            </w:rPr>
            <w:tab/>
            <w:t>East Meets West Foundation</w:t>
          </w:r>
        </w:p>
        <w:p w14:paraId="2257FD01" w14:textId="068CEA4D" w:rsidR="00BE3246" w:rsidRDefault="00BE3246">
          <w:pPr>
            <w:tabs>
              <w:tab w:val="left" w:pos="1440"/>
            </w:tabs>
            <w:ind w:left="1440" w:hanging="1440"/>
            <w:contextualSpacing/>
            <w:rPr>
              <w:rFonts w:cstheme="minorHAnsi"/>
              <w:b/>
            </w:rPr>
          </w:pPr>
          <w:r>
            <w:rPr>
              <w:rFonts w:cstheme="minorHAnsi"/>
              <w:b/>
            </w:rPr>
            <w:tab/>
          </w:r>
          <w:r>
            <w:rPr>
              <w:rFonts w:cstheme="minorHAnsi"/>
              <w:b/>
            </w:rPr>
            <w:tab/>
            <w:t>Oxfam America</w:t>
          </w:r>
        </w:p>
        <w:p w14:paraId="55983AFD" w14:textId="3D74DA3B" w:rsidR="00BE3246" w:rsidRDefault="00BE3246">
          <w:pPr>
            <w:tabs>
              <w:tab w:val="left" w:pos="1440"/>
            </w:tabs>
            <w:ind w:left="1440" w:hanging="1440"/>
            <w:contextualSpacing/>
            <w:rPr>
              <w:rFonts w:cstheme="minorHAnsi"/>
              <w:b/>
            </w:rPr>
          </w:pPr>
          <w:r>
            <w:rPr>
              <w:rFonts w:cstheme="minorHAnsi"/>
              <w:b/>
            </w:rPr>
            <w:tab/>
          </w:r>
          <w:r>
            <w:rPr>
              <w:rFonts w:cstheme="minorHAnsi"/>
              <w:b/>
            </w:rPr>
            <w:tab/>
          </w:r>
          <w:proofErr w:type="spellStart"/>
          <w:r>
            <w:rPr>
              <w:rFonts w:cstheme="minorHAnsi"/>
              <w:b/>
            </w:rPr>
            <w:t>WaterSHED</w:t>
          </w:r>
          <w:proofErr w:type="spellEnd"/>
          <w:r>
            <w:rPr>
              <w:rFonts w:cstheme="minorHAnsi"/>
              <w:b/>
            </w:rPr>
            <w:t>-Cambodia</w:t>
          </w:r>
        </w:p>
        <w:p w14:paraId="4C1BDDB1" w14:textId="0AA885EB" w:rsidR="00BE3246" w:rsidRDefault="00BE3246">
          <w:pPr>
            <w:tabs>
              <w:tab w:val="left" w:pos="1440"/>
            </w:tabs>
            <w:ind w:left="1440" w:hanging="1440"/>
            <w:contextualSpacing/>
            <w:rPr>
              <w:rFonts w:cstheme="minorHAnsi"/>
              <w:b/>
            </w:rPr>
          </w:pPr>
          <w:r>
            <w:rPr>
              <w:rFonts w:cstheme="minorHAnsi"/>
              <w:b/>
            </w:rPr>
            <w:t>Date:</w:t>
          </w:r>
          <w:r>
            <w:rPr>
              <w:rFonts w:cstheme="minorHAnsi"/>
              <w:b/>
            </w:rPr>
            <w:tab/>
          </w:r>
          <w:r>
            <w:rPr>
              <w:rFonts w:cstheme="minorHAnsi"/>
              <w:b/>
            </w:rPr>
            <w:tab/>
            <w:t>July 10, 2011</w:t>
          </w:r>
        </w:p>
        <w:p w14:paraId="6414AAB6" w14:textId="560DD484" w:rsidR="00BE3246" w:rsidRDefault="00BE3246" w:rsidP="00BE3246">
          <w:pPr>
            <w:pBdr>
              <w:bottom w:val="single" w:sz="18" w:space="1" w:color="5790D5"/>
            </w:pBdr>
            <w:tabs>
              <w:tab w:val="left" w:pos="1440"/>
            </w:tabs>
            <w:contextualSpacing/>
            <w:rPr>
              <w:rFonts w:cstheme="minorHAnsi"/>
              <w:b/>
            </w:rPr>
          </w:pPr>
        </w:p>
        <w:p w14:paraId="07E5F90A" w14:textId="2E550112" w:rsidR="00BE3246" w:rsidRDefault="00C85E9F">
          <w:pPr>
            <w:spacing w:before="1200"/>
            <w:jc w:val="center"/>
            <w:rPr>
              <w:rFonts w:ascii="Calibri" w:hAnsi="Calibri"/>
            </w:rPr>
          </w:pPr>
          <w:r>
            <w:rPr>
              <w:rFonts w:ascii="Arial" w:hAnsi="Arial" w:cs="Arial"/>
              <w:b/>
              <w:noProof/>
              <w:color w:val="1F497D"/>
            </w:rPr>
            <w:drawing>
              <wp:anchor distT="0" distB="0" distL="114300" distR="114300" simplePos="0" relativeHeight="251664384" behindDoc="0" locked="0" layoutInCell="1" allowOverlap="1" wp14:anchorId="5A22EA7A" wp14:editId="5FCCCF3F">
                <wp:simplePos x="0" y="0"/>
                <wp:positionH relativeFrom="column">
                  <wp:posOffset>228600</wp:posOffset>
                </wp:positionH>
                <wp:positionV relativeFrom="paragraph">
                  <wp:posOffset>881380</wp:posOffset>
                </wp:positionV>
                <wp:extent cx="2397125" cy="1910080"/>
                <wp:effectExtent l="25400" t="25400" r="15875" b="2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336.jpg"/>
                        <pic:cNvPicPr/>
                      </pic:nvPicPr>
                      <pic:blipFill>
                        <a:blip r:embed="rId9">
                          <a:extLst>
                            <a:ext uri="{28A0092B-C50C-407E-A947-70E740481C1C}">
                              <a14:useLocalDpi xmlns:a14="http://schemas.microsoft.com/office/drawing/2010/main" val="0"/>
                            </a:ext>
                          </a:extLst>
                        </a:blip>
                        <a:stretch>
                          <a:fillRect/>
                        </a:stretch>
                      </pic:blipFill>
                      <pic:spPr>
                        <a:xfrm>
                          <a:off x="0" y="0"/>
                          <a:ext cx="2397125" cy="1910080"/>
                        </a:xfrm>
                        <a:prstGeom prst="rect">
                          <a:avLst/>
                        </a:prstGeom>
                        <a:ln>
                          <a:solidFill>
                            <a:schemeClr val="bg2">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BB6028" w14:textId="0C7D1CCE" w:rsidR="00B401EB" w:rsidRPr="00BE3246" w:rsidRDefault="00365AF4" w:rsidP="00BE3246">
          <w:pPr>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noProof/>
              <w:color w:val="548DD4" w:themeColor="text2" w:themeTint="99"/>
              <w:sz w:val="72"/>
              <w:szCs w:val="72"/>
            </w:rPr>
            <mc:AlternateContent>
              <mc:Choice Requires="wps">
                <w:drawing>
                  <wp:anchor distT="0" distB="0" distL="114300" distR="114300" simplePos="0" relativeHeight="251669504" behindDoc="0" locked="0" layoutInCell="1" allowOverlap="1" wp14:anchorId="36C6C37C" wp14:editId="37AE2498">
                    <wp:simplePos x="0" y="0"/>
                    <wp:positionH relativeFrom="column">
                      <wp:posOffset>114300</wp:posOffset>
                    </wp:positionH>
                    <wp:positionV relativeFrom="paragraph">
                      <wp:posOffset>4619625</wp:posOffset>
                    </wp:positionV>
                    <wp:extent cx="56007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2017A" w14:textId="32B8C01C" w:rsidR="00365AF4" w:rsidRPr="00365AF4" w:rsidRDefault="00365AF4">
                                <w:pPr>
                                  <w:rPr>
                                    <w:sz w:val="20"/>
                                  </w:rPr>
                                </w:pPr>
                                <w:r w:rsidRPr="00365AF4">
                                  <w:rPr>
                                    <w:sz w:val="20"/>
                                  </w:rPr>
                                  <w:t>Contact:</w:t>
                                </w:r>
                                <w:r w:rsidRPr="00365AF4">
                                  <w:rPr>
                                    <w:sz w:val="20"/>
                                  </w:rPr>
                                  <w:tab/>
                                </w:r>
                                <w:r>
                                  <w:rPr>
                                    <w:sz w:val="20"/>
                                  </w:rPr>
                                  <w:tab/>
                                  <w:t xml:space="preserve">Mr. </w:t>
                                </w:r>
                                <w:r w:rsidRPr="00365AF4">
                                  <w:rPr>
                                    <w:sz w:val="20"/>
                                  </w:rPr>
                                  <w:t>James Dien Bui, Senior Operations Director</w:t>
                                </w:r>
                              </w:p>
                              <w:p w14:paraId="24791AD2" w14:textId="070D7378" w:rsidR="00365AF4" w:rsidRPr="00365AF4" w:rsidRDefault="00365AF4">
                                <w:pPr>
                                  <w:rPr>
                                    <w:sz w:val="20"/>
                                  </w:rPr>
                                </w:pPr>
                                <w:r w:rsidRPr="00365AF4">
                                  <w:rPr>
                                    <w:sz w:val="20"/>
                                  </w:rPr>
                                  <w:tab/>
                                </w:r>
                                <w:r w:rsidRPr="00365AF4">
                                  <w:rPr>
                                    <w:sz w:val="20"/>
                                  </w:rPr>
                                  <w:tab/>
                                  <w:t>East Meets West Foundation</w:t>
                                </w:r>
                              </w:p>
                              <w:p w14:paraId="7D998EEF" w14:textId="474F2617" w:rsidR="00365AF4" w:rsidRPr="00365AF4" w:rsidRDefault="00365AF4">
                                <w:pPr>
                                  <w:rPr>
                                    <w:sz w:val="20"/>
                                  </w:rPr>
                                </w:pPr>
                                <w:r w:rsidRPr="00365AF4">
                                  <w:rPr>
                                    <w:sz w:val="20"/>
                                  </w:rPr>
                                  <w:tab/>
                                </w:r>
                                <w:r w:rsidRPr="00365AF4">
                                  <w:rPr>
                                    <w:sz w:val="20"/>
                                  </w:rPr>
                                  <w:tab/>
                                  <w:t xml:space="preserve">No. 1 Lane 40 </w:t>
                                </w:r>
                                <w:proofErr w:type="spellStart"/>
                                <w:r w:rsidRPr="00365AF4">
                                  <w:rPr>
                                    <w:sz w:val="20"/>
                                  </w:rPr>
                                  <w:t>Linh</w:t>
                                </w:r>
                                <w:proofErr w:type="spellEnd"/>
                                <w:r w:rsidRPr="00365AF4">
                                  <w:rPr>
                                    <w:sz w:val="20"/>
                                  </w:rPr>
                                  <w:t xml:space="preserve"> Lang Street</w:t>
                                </w:r>
                              </w:p>
                              <w:p w14:paraId="2A1373D3" w14:textId="74AEB1A2" w:rsidR="00365AF4" w:rsidRDefault="00365AF4">
                                <w:pPr>
                                  <w:rPr>
                                    <w:sz w:val="20"/>
                                  </w:rPr>
                                </w:pPr>
                                <w:r w:rsidRPr="00365AF4">
                                  <w:rPr>
                                    <w:sz w:val="20"/>
                                  </w:rPr>
                                  <w:tab/>
                                </w:r>
                                <w:r w:rsidRPr="00365AF4">
                                  <w:rPr>
                                    <w:sz w:val="20"/>
                                  </w:rPr>
                                  <w:tab/>
                                  <w:t>Hanoi, Vietnam</w:t>
                                </w:r>
                              </w:p>
                              <w:p w14:paraId="6CE18E48" w14:textId="3927864D" w:rsidR="00365AF4" w:rsidRDefault="00365AF4">
                                <w:pPr>
                                  <w:rPr>
                                    <w:sz w:val="20"/>
                                  </w:rPr>
                                </w:pPr>
                                <w:r>
                                  <w:rPr>
                                    <w:sz w:val="20"/>
                                  </w:rPr>
                                  <w:tab/>
                                </w:r>
                                <w:r>
                                  <w:rPr>
                                    <w:sz w:val="20"/>
                                  </w:rPr>
                                  <w:tab/>
                                </w:r>
                                <w:hyperlink r:id="rId10" w:history="1">
                                  <w:r w:rsidR="00894065" w:rsidRPr="000E128E">
                                    <w:rPr>
                                      <w:rStyle w:val="Hyperlink"/>
                                      <w:sz w:val="20"/>
                                    </w:rPr>
                                    <w:t>jdbui@eastmeetswest.org</w:t>
                                  </w:r>
                                </w:hyperlink>
                              </w:p>
                              <w:p w14:paraId="4662B66B" w14:textId="1D37BF65" w:rsidR="00894065" w:rsidRDefault="00894065">
                                <w:pPr>
                                  <w:rPr>
                                    <w:sz w:val="20"/>
                                  </w:rPr>
                                </w:pPr>
                                <w:r>
                                  <w:rPr>
                                    <w:sz w:val="20"/>
                                  </w:rPr>
                                  <w:tab/>
                                </w:r>
                                <w:r>
                                  <w:rPr>
                                    <w:sz w:val="20"/>
                                  </w:rPr>
                                  <w:tab/>
                                  <w:t>+84-4-3834-7790</w:t>
                                </w:r>
                              </w:p>
                              <w:p w14:paraId="164E132A" w14:textId="77777777" w:rsidR="00894065" w:rsidRPr="00365AF4" w:rsidRDefault="00894065">
                                <w:pPr>
                                  <w:rPr>
                                    <w:sz w:val="20"/>
                                  </w:rPr>
                                </w:pPr>
                              </w:p>
                              <w:p w14:paraId="7255A479" w14:textId="77777777" w:rsidR="00365AF4" w:rsidRPr="00365AF4" w:rsidRDefault="00365AF4">
                                <w:pPr>
                                  <w:rPr>
                                    <w:sz w:val="20"/>
                                  </w:rPr>
                                </w:pPr>
                              </w:p>
                              <w:p w14:paraId="5A93AB5F" w14:textId="77777777" w:rsidR="00365AF4" w:rsidRPr="00365AF4" w:rsidRDefault="00365AF4">
                                <w:pPr>
                                  <w:rPr>
                                    <w:sz w:val="20"/>
                                  </w:rPr>
                                </w:pPr>
                              </w:p>
                              <w:p w14:paraId="42752249" w14:textId="77777777" w:rsidR="00365AF4" w:rsidRPr="00365AF4" w:rsidRDefault="00365AF4">
                                <w:pPr>
                                  <w:rPr>
                                    <w:sz w:val="20"/>
                                  </w:rPr>
                                </w:pPr>
                              </w:p>
                              <w:p w14:paraId="031FB454" w14:textId="77777777" w:rsidR="00365AF4" w:rsidRPr="00365AF4" w:rsidRDefault="00365AF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6" type="#_x0000_t202" style="position:absolute;margin-left:9pt;margin-top:363.75pt;width:441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y28sw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" filled="f" stroked="f">
                    <v:textbox>
                      <w:txbxContent>
                        <w:p w14:paraId="0A82017A" w14:textId="32B8C01C" w:rsidR="00365AF4" w:rsidRPr="00365AF4" w:rsidRDefault="00365AF4">
                          <w:pPr>
                            <w:rPr>
                              <w:sz w:val="20"/>
                            </w:rPr>
                          </w:pPr>
                          <w:r w:rsidRPr="00365AF4">
                            <w:rPr>
                              <w:sz w:val="20"/>
                            </w:rPr>
                            <w:t>Contact:</w:t>
                          </w:r>
                          <w:r w:rsidRPr="00365AF4">
                            <w:rPr>
                              <w:sz w:val="20"/>
                            </w:rPr>
                            <w:tab/>
                          </w:r>
                          <w:r>
                            <w:rPr>
                              <w:sz w:val="20"/>
                            </w:rPr>
                            <w:tab/>
                            <w:t xml:space="preserve">Mr. </w:t>
                          </w:r>
                          <w:r w:rsidRPr="00365AF4">
                            <w:rPr>
                              <w:sz w:val="20"/>
                            </w:rPr>
                            <w:t>James Dien Bui, Senior Operations Director</w:t>
                          </w:r>
                        </w:p>
                        <w:p w14:paraId="24791AD2" w14:textId="070D7378" w:rsidR="00365AF4" w:rsidRPr="00365AF4" w:rsidRDefault="00365AF4">
                          <w:pPr>
                            <w:rPr>
                              <w:sz w:val="20"/>
                            </w:rPr>
                          </w:pPr>
                          <w:r w:rsidRPr="00365AF4">
                            <w:rPr>
                              <w:sz w:val="20"/>
                            </w:rPr>
                            <w:tab/>
                          </w:r>
                          <w:r w:rsidRPr="00365AF4">
                            <w:rPr>
                              <w:sz w:val="20"/>
                            </w:rPr>
                            <w:tab/>
                            <w:t>East Meets West Foundation</w:t>
                          </w:r>
                        </w:p>
                        <w:p w14:paraId="7D998EEF" w14:textId="474F2617" w:rsidR="00365AF4" w:rsidRPr="00365AF4" w:rsidRDefault="00365AF4">
                          <w:pPr>
                            <w:rPr>
                              <w:sz w:val="20"/>
                            </w:rPr>
                          </w:pPr>
                          <w:r w:rsidRPr="00365AF4">
                            <w:rPr>
                              <w:sz w:val="20"/>
                            </w:rPr>
                            <w:tab/>
                          </w:r>
                          <w:r w:rsidRPr="00365AF4">
                            <w:rPr>
                              <w:sz w:val="20"/>
                            </w:rPr>
                            <w:tab/>
                            <w:t xml:space="preserve">No. 1 Lane 40 </w:t>
                          </w:r>
                          <w:proofErr w:type="spellStart"/>
                          <w:r w:rsidRPr="00365AF4">
                            <w:rPr>
                              <w:sz w:val="20"/>
                            </w:rPr>
                            <w:t>Linh</w:t>
                          </w:r>
                          <w:proofErr w:type="spellEnd"/>
                          <w:r w:rsidRPr="00365AF4">
                            <w:rPr>
                              <w:sz w:val="20"/>
                            </w:rPr>
                            <w:t xml:space="preserve"> Lang Street</w:t>
                          </w:r>
                        </w:p>
                        <w:p w14:paraId="2A1373D3" w14:textId="74AEB1A2" w:rsidR="00365AF4" w:rsidRDefault="00365AF4">
                          <w:pPr>
                            <w:rPr>
                              <w:sz w:val="20"/>
                            </w:rPr>
                          </w:pPr>
                          <w:r w:rsidRPr="00365AF4">
                            <w:rPr>
                              <w:sz w:val="20"/>
                            </w:rPr>
                            <w:tab/>
                          </w:r>
                          <w:r w:rsidRPr="00365AF4">
                            <w:rPr>
                              <w:sz w:val="20"/>
                            </w:rPr>
                            <w:tab/>
                            <w:t>Hanoi, Vietnam</w:t>
                          </w:r>
                        </w:p>
                        <w:p w14:paraId="6CE18E48" w14:textId="3927864D" w:rsidR="00365AF4" w:rsidRDefault="00365AF4">
                          <w:pPr>
                            <w:rPr>
                              <w:sz w:val="20"/>
                            </w:rPr>
                          </w:pPr>
                          <w:r>
                            <w:rPr>
                              <w:sz w:val="20"/>
                            </w:rPr>
                            <w:tab/>
                          </w:r>
                          <w:r>
                            <w:rPr>
                              <w:sz w:val="20"/>
                            </w:rPr>
                            <w:tab/>
                          </w:r>
                          <w:hyperlink r:id="rId11" w:history="1">
                            <w:r w:rsidR="00894065" w:rsidRPr="000E128E">
                              <w:rPr>
                                <w:rStyle w:val="Hyperlink"/>
                                <w:sz w:val="20"/>
                              </w:rPr>
                              <w:t>jdbui@eastmeetswest.org</w:t>
                            </w:r>
                          </w:hyperlink>
                        </w:p>
                        <w:p w14:paraId="4662B66B" w14:textId="1D37BF65" w:rsidR="00894065" w:rsidRDefault="00894065">
                          <w:pPr>
                            <w:rPr>
                              <w:sz w:val="20"/>
                            </w:rPr>
                          </w:pPr>
                          <w:r>
                            <w:rPr>
                              <w:sz w:val="20"/>
                            </w:rPr>
                            <w:tab/>
                          </w:r>
                          <w:r>
                            <w:rPr>
                              <w:sz w:val="20"/>
                            </w:rPr>
                            <w:tab/>
                            <w:t>+84-4-3834-7790</w:t>
                          </w:r>
                        </w:p>
                        <w:p w14:paraId="164E132A" w14:textId="77777777" w:rsidR="00894065" w:rsidRPr="00365AF4" w:rsidRDefault="00894065">
                          <w:pPr>
                            <w:rPr>
                              <w:sz w:val="20"/>
                            </w:rPr>
                          </w:pPr>
                        </w:p>
                        <w:p w14:paraId="7255A479" w14:textId="77777777" w:rsidR="00365AF4" w:rsidRPr="00365AF4" w:rsidRDefault="00365AF4">
                          <w:pPr>
                            <w:rPr>
                              <w:sz w:val="20"/>
                            </w:rPr>
                          </w:pPr>
                        </w:p>
                        <w:p w14:paraId="5A93AB5F" w14:textId="77777777" w:rsidR="00365AF4" w:rsidRPr="00365AF4" w:rsidRDefault="00365AF4">
                          <w:pPr>
                            <w:rPr>
                              <w:sz w:val="20"/>
                            </w:rPr>
                          </w:pPr>
                        </w:p>
                        <w:p w14:paraId="42752249" w14:textId="77777777" w:rsidR="00365AF4" w:rsidRPr="00365AF4" w:rsidRDefault="00365AF4">
                          <w:pPr>
                            <w:rPr>
                              <w:sz w:val="20"/>
                            </w:rPr>
                          </w:pPr>
                        </w:p>
                        <w:p w14:paraId="031FB454" w14:textId="77777777" w:rsidR="00365AF4" w:rsidRPr="00365AF4" w:rsidRDefault="00365AF4">
                          <w:pPr>
                            <w:rPr>
                              <w:sz w:val="20"/>
                            </w:rPr>
                          </w:pPr>
                        </w:p>
                      </w:txbxContent>
                    </v:textbox>
                    <w10:wrap type="square"/>
                  </v:shape>
                </w:pict>
              </mc:Fallback>
            </mc:AlternateContent>
          </w:r>
          <w:r w:rsidR="00B32E51">
            <w:rPr>
              <w:rFonts w:asciiTheme="majorHAnsi" w:eastAsiaTheme="majorEastAsia" w:hAnsiTheme="majorHAnsi" w:cstheme="majorBidi"/>
              <w:noProof/>
              <w:color w:val="548DD4" w:themeColor="text2" w:themeTint="99"/>
              <w:sz w:val="72"/>
              <w:szCs w:val="72"/>
            </w:rPr>
            <w:drawing>
              <wp:anchor distT="0" distB="0" distL="114300" distR="114300" simplePos="0" relativeHeight="251667456" behindDoc="1" locked="0" layoutInCell="1" allowOverlap="1" wp14:anchorId="1D53E7ED" wp14:editId="57D62B06">
                <wp:simplePos x="0" y="0"/>
                <wp:positionH relativeFrom="column">
                  <wp:posOffset>2857500</wp:posOffset>
                </wp:positionH>
                <wp:positionV relativeFrom="paragraph">
                  <wp:posOffset>47625</wp:posOffset>
                </wp:positionV>
                <wp:extent cx="2330450" cy="155511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alphaModFix amt="91000"/>
                          <a:extLst>
                            <a:ext uri="{28A0092B-C50C-407E-A947-70E740481C1C}">
                              <a14:useLocalDpi xmlns:a14="http://schemas.microsoft.com/office/drawing/2010/main" val="0"/>
                            </a:ext>
                          </a:extLst>
                        </a:blip>
                        <a:srcRect/>
                        <a:stretch>
                          <a:fillRect/>
                        </a:stretch>
                      </pic:blipFill>
                      <pic:spPr bwMode="auto">
                        <a:xfrm>
                          <a:off x="0" y="0"/>
                          <a:ext cx="2330450" cy="15551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2E51">
            <w:rPr>
              <w:rFonts w:ascii="Arial" w:hAnsi="Arial" w:cs="Arial"/>
              <w:b/>
              <w:noProof/>
              <w:color w:val="1F497D"/>
            </w:rPr>
            <w:drawing>
              <wp:anchor distT="0" distB="0" distL="114300" distR="114300" simplePos="0" relativeHeight="251665408" behindDoc="0" locked="0" layoutInCell="1" allowOverlap="1" wp14:anchorId="3721247D" wp14:editId="5E12AF96">
                <wp:simplePos x="0" y="0"/>
                <wp:positionH relativeFrom="column">
                  <wp:posOffset>2651125</wp:posOffset>
                </wp:positionH>
                <wp:positionV relativeFrom="paragraph">
                  <wp:posOffset>1876425</wp:posOffset>
                </wp:positionV>
                <wp:extent cx="2606675" cy="1909445"/>
                <wp:effectExtent l="25400" t="25400" r="34925" b="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0332.jpg"/>
                        <pic:cNvPicPr/>
                      </pic:nvPicPr>
                      <pic:blipFill>
                        <a:blip r:embed="rId13">
                          <a:extLst>
                            <a:ext uri="{28A0092B-C50C-407E-A947-70E740481C1C}">
                              <a14:useLocalDpi xmlns:a14="http://schemas.microsoft.com/office/drawing/2010/main" val="0"/>
                            </a:ext>
                          </a:extLst>
                        </a:blip>
                        <a:stretch>
                          <a:fillRect/>
                        </a:stretch>
                      </pic:blipFill>
                      <pic:spPr>
                        <a:xfrm>
                          <a:off x="0" y="0"/>
                          <a:ext cx="2606675" cy="1909445"/>
                        </a:xfrm>
                        <a:prstGeom prst="rect">
                          <a:avLst/>
                        </a:prstGeom>
                        <a:ln>
                          <a:solidFill>
                            <a:schemeClr val="bg2">
                              <a:lumMod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2E51">
            <w:rPr>
              <w:rFonts w:asciiTheme="majorHAnsi" w:eastAsiaTheme="majorEastAsia" w:hAnsiTheme="majorHAnsi" w:cstheme="majorBidi"/>
              <w:noProof/>
              <w:color w:val="548DD4" w:themeColor="text2" w:themeTint="99"/>
              <w:sz w:val="72"/>
              <w:szCs w:val="72"/>
            </w:rPr>
            <w:drawing>
              <wp:anchor distT="0" distB="0" distL="114300" distR="114300" simplePos="0" relativeHeight="251666432" behindDoc="1" locked="0" layoutInCell="1" allowOverlap="1" wp14:anchorId="461BAF2E" wp14:editId="01276EA2">
                <wp:simplePos x="0" y="0"/>
                <wp:positionH relativeFrom="column">
                  <wp:posOffset>228600</wp:posOffset>
                </wp:positionH>
                <wp:positionV relativeFrom="paragraph">
                  <wp:posOffset>2142490</wp:posOffset>
                </wp:positionV>
                <wp:extent cx="2170997" cy="14489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a:alphaModFix amt="91000"/>
                          <a:extLst>
                            <a:ext uri="{28A0092B-C50C-407E-A947-70E740481C1C}">
                              <a14:useLocalDpi xmlns:a14="http://schemas.microsoft.com/office/drawing/2010/main" val="0"/>
                            </a:ext>
                          </a:extLst>
                        </a:blip>
                        <a:srcRect/>
                        <a:stretch>
                          <a:fillRect/>
                        </a:stretch>
                      </pic:blipFill>
                      <pic:spPr bwMode="auto">
                        <a:xfrm>
                          <a:off x="0" y="0"/>
                          <a:ext cx="2170997" cy="14489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3246">
            <w:rPr>
              <w:rFonts w:asciiTheme="majorHAnsi" w:eastAsiaTheme="majorEastAsia" w:hAnsiTheme="majorHAnsi" w:cstheme="majorBidi"/>
              <w:color w:val="548DD4" w:themeColor="text2" w:themeTint="99"/>
              <w:sz w:val="72"/>
              <w:szCs w:val="72"/>
            </w:rPr>
            <w:br w:type="page"/>
          </w:r>
        </w:p>
      </w:sdtContent>
    </w:sdt>
    <w:sdt>
      <w:sdtPr>
        <w:rPr>
          <w:rFonts w:asciiTheme="minorHAnsi" w:eastAsiaTheme="minorEastAsia" w:hAnsiTheme="minorHAnsi" w:cstheme="minorBidi"/>
          <w:b w:val="0"/>
          <w:bCs w:val="0"/>
          <w:color w:val="auto"/>
          <w:sz w:val="24"/>
          <w:szCs w:val="24"/>
        </w:rPr>
        <w:id w:val="-553930231"/>
        <w:docPartObj>
          <w:docPartGallery w:val="Table of Contents"/>
          <w:docPartUnique/>
        </w:docPartObj>
      </w:sdtPr>
      <w:sdtEndPr>
        <w:rPr>
          <w:noProof/>
        </w:rPr>
      </w:sdtEndPr>
      <w:sdtContent>
        <w:p w14:paraId="52E5C43D" w14:textId="77777777" w:rsidR="009020E6" w:rsidRDefault="009020E6">
          <w:pPr>
            <w:pStyle w:val="TOCHeading"/>
          </w:pPr>
        </w:p>
        <w:p w14:paraId="1D333DC5" w14:textId="53A6379E" w:rsidR="001066A7" w:rsidRDefault="001066A7">
          <w:pPr>
            <w:pStyle w:val="TOCHeading"/>
          </w:pPr>
          <w:r>
            <w:t>Table of Contents</w:t>
          </w:r>
        </w:p>
        <w:p w14:paraId="621DAD14" w14:textId="77777777" w:rsidR="0094302D" w:rsidRDefault="001066A7" w:rsidP="0094302D">
          <w:pPr>
            <w:pStyle w:val="TOC2"/>
            <w:tabs>
              <w:tab w:val="left" w:pos="661"/>
              <w:tab w:val="right" w:leader="dot" w:pos="8630"/>
            </w:tabs>
            <w:spacing w:line="480" w:lineRule="auto"/>
            <w:rPr>
              <w:b w:val="0"/>
              <w:noProof/>
              <w:sz w:val="24"/>
              <w:szCs w:val="24"/>
              <w:lang w:eastAsia="ja-JP"/>
            </w:rPr>
          </w:pPr>
          <w:r>
            <w:rPr>
              <w:b w:val="0"/>
            </w:rPr>
            <w:fldChar w:fldCharType="begin"/>
          </w:r>
          <w:r>
            <w:instrText xml:space="preserve"> TOC \o "1-3" \h \z \u </w:instrText>
          </w:r>
          <w:r>
            <w:rPr>
              <w:b w:val="0"/>
            </w:rPr>
            <w:fldChar w:fldCharType="separate"/>
          </w:r>
          <w:r w:rsidR="0094302D">
            <w:rPr>
              <w:noProof/>
            </w:rPr>
            <w:t>1.</w:t>
          </w:r>
          <w:r w:rsidR="0094302D">
            <w:rPr>
              <w:b w:val="0"/>
              <w:noProof/>
              <w:sz w:val="24"/>
              <w:szCs w:val="24"/>
              <w:lang w:eastAsia="ja-JP"/>
            </w:rPr>
            <w:tab/>
          </w:r>
          <w:r w:rsidR="0094302D">
            <w:rPr>
              <w:noProof/>
            </w:rPr>
            <w:t>General information</w:t>
          </w:r>
          <w:r w:rsidR="0094302D">
            <w:rPr>
              <w:noProof/>
            </w:rPr>
            <w:tab/>
          </w:r>
          <w:r w:rsidR="0094302D">
            <w:rPr>
              <w:noProof/>
            </w:rPr>
            <w:fldChar w:fldCharType="begin"/>
          </w:r>
          <w:r w:rsidR="0094302D">
            <w:rPr>
              <w:noProof/>
            </w:rPr>
            <w:instrText xml:space="preserve"> PAGEREF _Toc172030744 \h </w:instrText>
          </w:r>
          <w:r w:rsidR="0094302D">
            <w:rPr>
              <w:noProof/>
            </w:rPr>
          </w:r>
          <w:r w:rsidR="0094302D">
            <w:rPr>
              <w:noProof/>
            </w:rPr>
            <w:fldChar w:fldCharType="separate"/>
          </w:r>
          <w:r w:rsidR="0094302D">
            <w:rPr>
              <w:noProof/>
            </w:rPr>
            <w:t>3</w:t>
          </w:r>
          <w:r w:rsidR="0094302D">
            <w:rPr>
              <w:noProof/>
            </w:rPr>
            <w:fldChar w:fldCharType="end"/>
          </w:r>
        </w:p>
        <w:p w14:paraId="2785B8A0" w14:textId="77777777" w:rsidR="0094302D" w:rsidRDefault="0094302D" w:rsidP="0094302D">
          <w:pPr>
            <w:pStyle w:val="TOC2"/>
            <w:tabs>
              <w:tab w:val="left" w:pos="661"/>
              <w:tab w:val="right" w:leader="dot" w:pos="8630"/>
            </w:tabs>
            <w:spacing w:line="480" w:lineRule="auto"/>
            <w:rPr>
              <w:b w:val="0"/>
              <w:noProof/>
              <w:sz w:val="24"/>
              <w:szCs w:val="24"/>
              <w:lang w:eastAsia="ja-JP"/>
            </w:rPr>
          </w:pPr>
          <w:r>
            <w:rPr>
              <w:noProof/>
            </w:rPr>
            <w:t>2.</w:t>
          </w:r>
          <w:r>
            <w:rPr>
              <w:b w:val="0"/>
              <w:noProof/>
              <w:sz w:val="24"/>
              <w:szCs w:val="24"/>
              <w:lang w:eastAsia="ja-JP"/>
            </w:rPr>
            <w:tab/>
          </w:r>
          <w:r>
            <w:rPr>
              <w:noProof/>
            </w:rPr>
            <w:t>Organizational Capacity and Approach</w:t>
          </w:r>
          <w:r>
            <w:rPr>
              <w:noProof/>
            </w:rPr>
            <w:tab/>
          </w:r>
          <w:r>
            <w:rPr>
              <w:noProof/>
            </w:rPr>
            <w:fldChar w:fldCharType="begin"/>
          </w:r>
          <w:r>
            <w:rPr>
              <w:noProof/>
            </w:rPr>
            <w:instrText xml:space="preserve"> PAGEREF _Toc172030745 \h </w:instrText>
          </w:r>
          <w:r>
            <w:rPr>
              <w:noProof/>
            </w:rPr>
          </w:r>
          <w:r>
            <w:rPr>
              <w:noProof/>
            </w:rPr>
            <w:fldChar w:fldCharType="separate"/>
          </w:r>
          <w:r>
            <w:rPr>
              <w:noProof/>
            </w:rPr>
            <w:t>5</w:t>
          </w:r>
          <w:r>
            <w:rPr>
              <w:noProof/>
            </w:rPr>
            <w:fldChar w:fldCharType="end"/>
          </w:r>
        </w:p>
        <w:p w14:paraId="50089C3A" w14:textId="77777777" w:rsidR="0094302D" w:rsidRDefault="0094302D" w:rsidP="0094302D">
          <w:pPr>
            <w:pStyle w:val="TOC3"/>
            <w:tabs>
              <w:tab w:val="right" w:leader="dot" w:pos="8630"/>
            </w:tabs>
            <w:spacing w:line="480" w:lineRule="auto"/>
            <w:rPr>
              <w:noProof/>
              <w:sz w:val="24"/>
              <w:szCs w:val="24"/>
              <w:lang w:eastAsia="ja-JP"/>
            </w:rPr>
          </w:pPr>
          <w:r>
            <w:rPr>
              <w:noProof/>
            </w:rPr>
            <w:t>Pilot Timeline</w:t>
          </w:r>
          <w:r>
            <w:rPr>
              <w:noProof/>
            </w:rPr>
            <w:tab/>
          </w:r>
          <w:r>
            <w:rPr>
              <w:noProof/>
            </w:rPr>
            <w:fldChar w:fldCharType="begin"/>
          </w:r>
          <w:r>
            <w:rPr>
              <w:noProof/>
            </w:rPr>
            <w:instrText xml:space="preserve"> PAGEREF _Toc172030746 \h </w:instrText>
          </w:r>
          <w:r>
            <w:rPr>
              <w:noProof/>
            </w:rPr>
          </w:r>
          <w:r>
            <w:rPr>
              <w:noProof/>
            </w:rPr>
            <w:fldChar w:fldCharType="separate"/>
          </w:r>
          <w:r>
            <w:rPr>
              <w:noProof/>
            </w:rPr>
            <w:t>6</w:t>
          </w:r>
          <w:r>
            <w:rPr>
              <w:noProof/>
            </w:rPr>
            <w:fldChar w:fldCharType="end"/>
          </w:r>
        </w:p>
        <w:p w14:paraId="755E4F8F" w14:textId="77777777" w:rsidR="0094302D" w:rsidRDefault="0094302D" w:rsidP="0094302D">
          <w:pPr>
            <w:pStyle w:val="TOC3"/>
            <w:tabs>
              <w:tab w:val="right" w:leader="dot" w:pos="8630"/>
            </w:tabs>
            <w:spacing w:line="480" w:lineRule="auto"/>
            <w:rPr>
              <w:noProof/>
              <w:sz w:val="24"/>
              <w:szCs w:val="24"/>
              <w:lang w:eastAsia="ja-JP"/>
            </w:rPr>
          </w:pPr>
          <w:r>
            <w:rPr>
              <w:noProof/>
            </w:rPr>
            <w:t>Pilot Budget</w:t>
          </w:r>
          <w:r>
            <w:rPr>
              <w:noProof/>
            </w:rPr>
            <w:tab/>
          </w:r>
          <w:r>
            <w:rPr>
              <w:noProof/>
            </w:rPr>
            <w:fldChar w:fldCharType="begin"/>
          </w:r>
          <w:r>
            <w:rPr>
              <w:noProof/>
            </w:rPr>
            <w:instrText xml:space="preserve"> PAGEREF _Toc172030747 \h </w:instrText>
          </w:r>
          <w:r>
            <w:rPr>
              <w:noProof/>
            </w:rPr>
          </w:r>
          <w:r>
            <w:rPr>
              <w:noProof/>
            </w:rPr>
            <w:fldChar w:fldCharType="separate"/>
          </w:r>
          <w:r>
            <w:rPr>
              <w:noProof/>
            </w:rPr>
            <w:t>7</w:t>
          </w:r>
          <w:r>
            <w:rPr>
              <w:noProof/>
            </w:rPr>
            <w:fldChar w:fldCharType="end"/>
          </w:r>
        </w:p>
        <w:p w14:paraId="3E1F0FC5" w14:textId="77777777" w:rsidR="0094302D" w:rsidRDefault="0094302D" w:rsidP="0094302D">
          <w:pPr>
            <w:pStyle w:val="TOC2"/>
            <w:tabs>
              <w:tab w:val="left" w:pos="659"/>
              <w:tab w:val="right" w:leader="dot" w:pos="8630"/>
            </w:tabs>
            <w:spacing w:line="480" w:lineRule="auto"/>
            <w:rPr>
              <w:b w:val="0"/>
              <w:noProof/>
              <w:sz w:val="24"/>
              <w:szCs w:val="24"/>
              <w:lang w:eastAsia="ja-JP"/>
            </w:rPr>
          </w:pPr>
          <w:r>
            <w:rPr>
              <w:noProof/>
            </w:rPr>
            <w:t xml:space="preserve">3 </w:t>
          </w:r>
          <w:r>
            <w:rPr>
              <w:b w:val="0"/>
              <w:noProof/>
              <w:sz w:val="24"/>
              <w:szCs w:val="24"/>
              <w:lang w:eastAsia="ja-JP"/>
            </w:rPr>
            <w:tab/>
          </w:r>
          <w:r>
            <w:rPr>
              <w:noProof/>
            </w:rPr>
            <w:t>Capability and Experience of Managing and Accounting for Grants</w:t>
          </w:r>
          <w:r>
            <w:rPr>
              <w:noProof/>
            </w:rPr>
            <w:tab/>
          </w:r>
          <w:r>
            <w:rPr>
              <w:noProof/>
            </w:rPr>
            <w:fldChar w:fldCharType="begin"/>
          </w:r>
          <w:r>
            <w:rPr>
              <w:noProof/>
            </w:rPr>
            <w:instrText xml:space="preserve"> PAGEREF _Toc172030748 \h </w:instrText>
          </w:r>
          <w:r>
            <w:rPr>
              <w:noProof/>
            </w:rPr>
          </w:r>
          <w:r>
            <w:rPr>
              <w:noProof/>
            </w:rPr>
            <w:fldChar w:fldCharType="separate"/>
          </w:r>
          <w:r>
            <w:rPr>
              <w:noProof/>
            </w:rPr>
            <w:t>8</w:t>
          </w:r>
          <w:r>
            <w:rPr>
              <w:noProof/>
            </w:rPr>
            <w:fldChar w:fldCharType="end"/>
          </w:r>
        </w:p>
        <w:p w14:paraId="48ACC4EB" w14:textId="77777777" w:rsidR="0094302D" w:rsidRDefault="0094302D" w:rsidP="0094302D">
          <w:pPr>
            <w:pStyle w:val="TOC2"/>
            <w:tabs>
              <w:tab w:val="left" w:pos="659"/>
              <w:tab w:val="right" w:leader="dot" w:pos="8630"/>
            </w:tabs>
            <w:spacing w:line="480" w:lineRule="auto"/>
            <w:rPr>
              <w:b w:val="0"/>
              <w:noProof/>
              <w:sz w:val="24"/>
              <w:szCs w:val="24"/>
              <w:lang w:eastAsia="ja-JP"/>
            </w:rPr>
          </w:pPr>
          <w:r>
            <w:rPr>
              <w:noProof/>
            </w:rPr>
            <w:t xml:space="preserve">4 </w:t>
          </w:r>
          <w:r>
            <w:rPr>
              <w:b w:val="0"/>
              <w:noProof/>
              <w:sz w:val="24"/>
              <w:szCs w:val="24"/>
              <w:lang w:eastAsia="ja-JP"/>
            </w:rPr>
            <w:tab/>
          </w:r>
          <w:r>
            <w:rPr>
              <w:noProof/>
            </w:rPr>
            <w:t>Project Management Experience, Monitoring and Evaluation Capacity</w:t>
          </w:r>
          <w:r>
            <w:rPr>
              <w:noProof/>
            </w:rPr>
            <w:tab/>
          </w:r>
          <w:r>
            <w:rPr>
              <w:noProof/>
            </w:rPr>
            <w:fldChar w:fldCharType="begin"/>
          </w:r>
          <w:r>
            <w:rPr>
              <w:noProof/>
            </w:rPr>
            <w:instrText xml:space="preserve"> PAGEREF _Toc172030749 \h </w:instrText>
          </w:r>
          <w:r>
            <w:rPr>
              <w:noProof/>
            </w:rPr>
          </w:r>
          <w:r>
            <w:rPr>
              <w:noProof/>
            </w:rPr>
            <w:fldChar w:fldCharType="separate"/>
          </w:r>
          <w:r>
            <w:rPr>
              <w:noProof/>
            </w:rPr>
            <w:t>9</w:t>
          </w:r>
          <w:r>
            <w:rPr>
              <w:noProof/>
            </w:rPr>
            <w:fldChar w:fldCharType="end"/>
          </w:r>
        </w:p>
        <w:p w14:paraId="51D56CAE" w14:textId="3734D125" w:rsidR="001066A7" w:rsidRDefault="001066A7" w:rsidP="0094302D">
          <w:pPr>
            <w:spacing w:line="480" w:lineRule="auto"/>
          </w:pPr>
          <w:r>
            <w:rPr>
              <w:b/>
              <w:bCs/>
              <w:noProof/>
            </w:rPr>
            <w:fldChar w:fldCharType="end"/>
          </w:r>
        </w:p>
      </w:sdtContent>
    </w:sdt>
    <w:p w14:paraId="288674CB" w14:textId="77777777" w:rsidR="009020E6" w:rsidRDefault="009020E6"/>
    <w:p w14:paraId="4E8DB9B6" w14:textId="77777777" w:rsidR="009020E6" w:rsidRDefault="009020E6"/>
    <w:p w14:paraId="2E1A50FD" w14:textId="77777777" w:rsidR="009020E6" w:rsidRDefault="009020E6"/>
    <w:p w14:paraId="42A1B388" w14:textId="77777777" w:rsidR="009020E6" w:rsidRDefault="009020E6"/>
    <w:p w14:paraId="50713608" w14:textId="77777777" w:rsidR="009020E6" w:rsidRDefault="009020E6"/>
    <w:p w14:paraId="2232B1A4" w14:textId="77777777" w:rsidR="009020E6" w:rsidRDefault="009020E6"/>
    <w:p w14:paraId="0DD5A72A" w14:textId="77777777" w:rsidR="009020E6" w:rsidRDefault="009020E6"/>
    <w:p w14:paraId="587AADC7" w14:textId="77777777" w:rsidR="009020E6" w:rsidRDefault="009020E6"/>
    <w:p w14:paraId="75699BFB" w14:textId="77777777" w:rsidR="009020E6" w:rsidRDefault="009020E6"/>
    <w:p w14:paraId="6F91F394" w14:textId="77777777" w:rsidR="009020E6" w:rsidRDefault="009020E6"/>
    <w:p w14:paraId="4D3A574C" w14:textId="77777777" w:rsidR="009020E6" w:rsidRDefault="009020E6"/>
    <w:p w14:paraId="5233D30E" w14:textId="77777777" w:rsidR="009020E6" w:rsidRDefault="009020E6"/>
    <w:p w14:paraId="29348EC3" w14:textId="77777777" w:rsidR="009020E6" w:rsidRDefault="009020E6"/>
    <w:p w14:paraId="3099347E" w14:textId="77777777" w:rsidR="009020E6" w:rsidRDefault="009020E6"/>
    <w:p w14:paraId="007F82C5" w14:textId="77777777" w:rsidR="009020E6" w:rsidRDefault="009020E6"/>
    <w:p w14:paraId="36C86D80" w14:textId="77777777" w:rsidR="009020E6" w:rsidRDefault="009020E6"/>
    <w:p w14:paraId="25BF1234" w14:textId="30BC3D7B" w:rsidR="009020E6" w:rsidRDefault="009020E6">
      <w:r>
        <w:t>List of Abbreviations:</w:t>
      </w:r>
    </w:p>
    <w:p w14:paraId="6874BE04" w14:textId="77777777" w:rsidR="009020E6" w:rsidRDefault="009020E6"/>
    <w:p w14:paraId="5EBCBDD3" w14:textId="09CB3008" w:rsidR="009020E6" w:rsidRDefault="009020E6">
      <w:r>
        <w:t>CLTS</w:t>
      </w:r>
      <w:r>
        <w:tab/>
        <w:t>Community Led Total Sanitation</w:t>
      </w:r>
    </w:p>
    <w:p w14:paraId="61AA8F3F" w14:textId="67463E06" w:rsidR="009020E6" w:rsidRDefault="009020E6">
      <w:r>
        <w:t>EMW</w:t>
      </w:r>
      <w:r>
        <w:tab/>
        <w:t>East Meets West Foundation</w:t>
      </w:r>
    </w:p>
    <w:p w14:paraId="6BE7A545" w14:textId="77777777" w:rsidR="009020E6" w:rsidRDefault="009020E6" w:rsidP="009020E6">
      <w:r>
        <w:t>HBC</w:t>
      </w:r>
      <w:r>
        <w:tab/>
        <w:t>Hygiene Behavior Change</w:t>
      </w:r>
    </w:p>
    <w:p w14:paraId="6545350C" w14:textId="77777777" w:rsidR="009020E6" w:rsidRDefault="009020E6">
      <w:r>
        <w:t>MDG</w:t>
      </w:r>
      <w:r>
        <w:tab/>
        <w:t>Millennium Development Goal</w:t>
      </w:r>
    </w:p>
    <w:p w14:paraId="6045010B" w14:textId="77777777" w:rsidR="009020E6" w:rsidRDefault="009020E6">
      <w:r>
        <w:t>OBA</w:t>
      </w:r>
      <w:r>
        <w:tab/>
        <w:t>Output-based Aid</w:t>
      </w:r>
    </w:p>
    <w:p w14:paraId="6441D641" w14:textId="4CC577B2" w:rsidR="009020E6" w:rsidRDefault="009020E6">
      <w:r>
        <w:t>ODF</w:t>
      </w:r>
      <w:r>
        <w:tab/>
        <w:t>Open Defecation Free</w:t>
      </w:r>
    </w:p>
    <w:p w14:paraId="6D4C1D5C" w14:textId="5245E706" w:rsidR="001066A7" w:rsidRDefault="001066A7">
      <w:pPr>
        <w:rPr>
          <w:rFonts w:asciiTheme="majorHAnsi" w:eastAsiaTheme="majorEastAsia" w:hAnsiTheme="majorHAnsi" w:cstheme="majorBidi"/>
          <w:b/>
          <w:bCs/>
          <w:color w:val="4F81BD" w:themeColor="accent1"/>
          <w:sz w:val="26"/>
          <w:szCs w:val="26"/>
        </w:rPr>
      </w:pPr>
      <w:r>
        <w:br w:type="page"/>
      </w:r>
    </w:p>
    <w:p w14:paraId="1B64B66D" w14:textId="30F62091" w:rsidR="00F24485" w:rsidRPr="00F24485" w:rsidRDefault="005B42F6" w:rsidP="00365AF4">
      <w:pPr>
        <w:pStyle w:val="Heading2"/>
      </w:pPr>
      <w:bookmarkStart w:id="1" w:name="_Toc172030744"/>
      <w:r w:rsidRPr="003E5C8F">
        <w:t>1.</w:t>
      </w:r>
      <w:r w:rsidRPr="003E5C8F">
        <w:tab/>
        <w:t>General information</w:t>
      </w:r>
      <w:bookmarkEnd w:id="1"/>
    </w:p>
    <w:p w14:paraId="01B7298D" w14:textId="77777777" w:rsidR="00F24485" w:rsidRDefault="00F24485" w:rsidP="00F24485">
      <w:pPr>
        <w:ind w:firstLine="720"/>
        <w:rPr>
          <w:sz w:val="22"/>
          <w:szCs w:val="22"/>
        </w:rPr>
      </w:pPr>
    </w:p>
    <w:p w14:paraId="6AC1B14E" w14:textId="77777777" w:rsidR="00F24485" w:rsidRDefault="00F24485" w:rsidP="00F24485">
      <w:pPr>
        <w:rPr>
          <w:i/>
          <w:sz w:val="22"/>
          <w:szCs w:val="22"/>
        </w:rPr>
      </w:pPr>
      <w:r w:rsidRPr="00F24485">
        <w:rPr>
          <w:i/>
          <w:sz w:val="22"/>
          <w:szCs w:val="22"/>
        </w:rPr>
        <w:t>Background</w:t>
      </w:r>
    </w:p>
    <w:p w14:paraId="0CABABCC" w14:textId="77777777" w:rsidR="00365AF4" w:rsidRPr="00F24485" w:rsidRDefault="00365AF4" w:rsidP="00F24485">
      <w:pPr>
        <w:rPr>
          <w:i/>
          <w:sz w:val="22"/>
          <w:szCs w:val="22"/>
        </w:rPr>
      </w:pPr>
    </w:p>
    <w:p w14:paraId="23BBE830" w14:textId="77777777" w:rsidR="004B29CB" w:rsidRPr="003E5C8F" w:rsidRDefault="004B29CB" w:rsidP="00B32E51">
      <w:pPr>
        <w:ind w:firstLine="720"/>
        <w:rPr>
          <w:sz w:val="22"/>
          <w:szCs w:val="22"/>
        </w:rPr>
      </w:pPr>
      <w:r w:rsidRPr="003E5C8F">
        <w:rPr>
          <w:sz w:val="22"/>
          <w:szCs w:val="22"/>
        </w:rPr>
        <w:t>Rural sanitation coverage in Cambodia is amongst the lowest in the world</w:t>
      </w:r>
      <w:r w:rsidR="00A67A90" w:rsidRPr="003E5C8F">
        <w:rPr>
          <w:sz w:val="22"/>
          <w:szCs w:val="22"/>
        </w:rPr>
        <w:t xml:space="preserve">, with coverage </w:t>
      </w:r>
      <w:r w:rsidR="00462D3F" w:rsidRPr="003E5C8F">
        <w:rPr>
          <w:sz w:val="22"/>
          <w:szCs w:val="22"/>
        </w:rPr>
        <w:t xml:space="preserve">less than 16% leaving over 11 million Cambodians </w:t>
      </w:r>
      <w:r w:rsidR="00021948" w:rsidRPr="003E5C8F">
        <w:rPr>
          <w:sz w:val="22"/>
          <w:szCs w:val="22"/>
        </w:rPr>
        <w:t>without</w:t>
      </w:r>
      <w:r w:rsidR="00462D3F" w:rsidRPr="003E5C8F">
        <w:rPr>
          <w:sz w:val="22"/>
          <w:szCs w:val="22"/>
        </w:rPr>
        <w:t xml:space="preserve"> access to improved sanitation.  </w:t>
      </w:r>
      <w:r w:rsidRPr="003E5C8F">
        <w:rPr>
          <w:sz w:val="22"/>
          <w:szCs w:val="22"/>
        </w:rPr>
        <w:t xml:space="preserve">Poor sanitation in Cambodia </w:t>
      </w:r>
      <w:r w:rsidR="00462D3F" w:rsidRPr="003E5C8F">
        <w:rPr>
          <w:sz w:val="22"/>
          <w:szCs w:val="22"/>
        </w:rPr>
        <w:t>is</w:t>
      </w:r>
      <w:r w:rsidRPr="003E5C8F">
        <w:rPr>
          <w:sz w:val="22"/>
          <w:szCs w:val="22"/>
        </w:rPr>
        <w:t xml:space="preserve"> responsible for roug</w:t>
      </w:r>
      <w:r w:rsidR="00073B1F" w:rsidRPr="003E5C8F">
        <w:rPr>
          <w:sz w:val="22"/>
          <w:szCs w:val="22"/>
        </w:rPr>
        <w:t>hly 9.4 million cases of diarrh</w:t>
      </w:r>
      <w:r w:rsidRPr="003E5C8F">
        <w:rPr>
          <w:sz w:val="22"/>
          <w:szCs w:val="22"/>
        </w:rPr>
        <w:t>eal disease</w:t>
      </w:r>
      <w:r w:rsidR="000D5D46" w:rsidRPr="003E5C8F">
        <w:rPr>
          <w:sz w:val="22"/>
          <w:szCs w:val="22"/>
        </w:rPr>
        <w:t>s, which result</w:t>
      </w:r>
      <w:r w:rsidR="00142634" w:rsidRPr="003E5C8F">
        <w:rPr>
          <w:sz w:val="22"/>
          <w:szCs w:val="22"/>
        </w:rPr>
        <w:t xml:space="preserve"> in</w:t>
      </w:r>
      <w:r w:rsidR="000D5D46" w:rsidRPr="003E5C8F">
        <w:rPr>
          <w:sz w:val="22"/>
          <w:szCs w:val="22"/>
        </w:rPr>
        <w:t xml:space="preserve"> an estimated 12,000 deaths per year.  In fact, diarrheal diseases are the number one cause of sickness and death among Cambodian children.</w:t>
      </w:r>
      <w:r w:rsidR="00FE0B74" w:rsidRPr="003E5C8F">
        <w:rPr>
          <w:sz w:val="22"/>
          <w:szCs w:val="22"/>
        </w:rPr>
        <w:t xml:space="preserve">  </w:t>
      </w:r>
      <w:r w:rsidR="000D5D46" w:rsidRPr="003E5C8F">
        <w:rPr>
          <w:sz w:val="22"/>
          <w:szCs w:val="22"/>
        </w:rPr>
        <w:t xml:space="preserve">Beyond health, </w:t>
      </w:r>
      <w:r w:rsidRPr="003E5C8F">
        <w:rPr>
          <w:sz w:val="22"/>
          <w:szCs w:val="22"/>
        </w:rPr>
        <w:t xml:space="preserve">economic impacts </w:t>
      </w:r>
      <w:r w:rsidR="000D5D46" w:rsidRPr="003E5C8F">
        <w:rPr>
          <w:sz w:val="22"/>
          <w:szCs w:val="22"/>
        </w:rPr>
        <w:t>due to</w:t>
      </w:r>
      <w:r w:rsidRPr="003E5C8F">
        <w:rPr>
          <w:sz w:val="22"/>
          <w:szCs w:val="22"/>
        </w:rPr>
        <w:t xml:space="preserve"> poor sanitation and hygiene </w:t>
      </w:r>
      <w:r w:rsidR="000D5D46" w:rsidRPr="003E5C8F">
        <w:rPr>
          <w:sz w:val="22"/>
          <w:szCs w:val="22"/>
        </w:rPr>
        <w:t>are</w:t>
      </w:r>
      <w:r w:rsidRPr="003E5C8F">
        <w:rPr>
          <w:sz w:val="22"/>
          <w:szCs w:val="22"/>
        </w:rPr>
        <w:t xml:space="preserve"> calculated</w:t>
      </w:r>
      <w:r w:rsidR="00B0432C" w:rsidRPr="003E5C8F">
        <w:rPr>
          <w:sz w:val="22"/>
          <w:szCs w:val="22"/>
        </w:rPr>
        <w:t xml:space="preserve"> at </w:t>
      </w:r>
      <w:r w:rsidR="00A67A90" w:rsidRPr="003E5C8F">
        <w:rPr>
          <w:sz w:val="22"/>
          <w:szCs w:val="22"/>
        </w:rPr>
        <w:t>$450 million</w:t>
      </w:r>
      <w:r w:rsidR="00C00623" w:rsidRPr="003E5C8F">
        <w:rPr>
          <w:sz w:val="22"/>
          <w:szCs w:val="22"/>
        </w:rPr>
        <w:t xml:space="preserve"> USD</w:t>
      </w:r>
      <w:r w:rsidR="00A67A90" w:rsidRPr="003E5C8F">
        <w:rPr>
          <w:sz w:val="22"/>
          <w:szCs w:val="22"/>
        </w:rPr>
        <w:t>, or 7.2 per</w:t>
      </w:r>
      <w:r w:rsidRPr="003E5C8F">
        <w:rPr>
          <w:sz w:val="22"/>
          <w:szCs w:val="22"/>
        </w:rPr>
        <w:t>cent of the country’s GDP (WSP, 2008).</w:t>
      </w:r>
    </w:p>
    <w:p w14:paraId="7AC744AA" w14:textId="77777777" w:rsidR="005B5ABE" w:rsidRPr="003E5C8F" w:rsidRDefault="005B5ABE" w:rsidP="00073B1F">
      <w:pPr>
        <w:rPr>
          <w:sz w:val="22"/>
          <w:szCs w:val="22"/>
        </w:rPr>
      </w:pPr>
    </w:p>
    <w:p w14:paraId="49A215AF" w14:textId="36C2D203" w:rsidR="005B5ABE" w:rsidRDefault="005B5ABE" w:rsidP="00B32E51">
      <w:pPr>
        <w:ind w:firstLine="720"/>
        <w:contextualSpacing/>
        <w:rPr>
          <w:rFonts w:cs="Arial"/>
          <w:sz w:val="22"/>
          <w:szCs w:val="22"/>
        </w:rPr>
      </w:pPr>
      <w:r w:rsidRPr="003E5C8F">
        <w:rPr>
          <w:rFonts w:cs="Arial"/>
          <w:sz w:val="22"/>
          <w:szCs w:val="22"/>
        </w:rPr>
        <w:t xml:space="preserve">The </w:t>
      </w:r>
      <w:r w:rsidR="00F24485">
        <w:rPr>
          <w:rFonts w:cs="Arial"/>
          <w:sz w:val="22"/>
          <w:szCs w:val="22"/>
        </w:rPr>
        <w:t xml:space="preserve">Cambodian </w:t>
      </w:r>
      <w:r w:rsidRPr="003E5C8F">
        <w:rPr>
          <w:rFonts w:cs="Arial"/>
          <w:sz w:val="22"/>
          <w:szCs w:val="22"/>
        </w:rPr>
        <w:t>Millennium Development Goal</w:t>
      </w:r>
      <w:r w:rsidR="00135C1F">
        <w:rPr>
          <w:rFonts w:cs="Arial"/>
          <w:sz w:val="22"/>
          <w:szCs w:val="22"/>
        </w:rPr>
        <w:t xml:space="preserve"> (MDG)</w:t>
      </w:r>
      <w:r w:rsidRPr="003E5C8F">
        <w:rPr>
          <w:rFonts w:cs="Arial"/>
          <w:sz w:val="22"/>
          <w:szCs w:val="22"/>
        </w:rPr>
        <w:t xml:space="preserve"> on environmental sustainability sets the following targets regarding clean water and sanitation:</w:t>
      </w:r>
    </w:p>
    <w:p w14:paraId="7039A30C" w14:textId="77777777" w:rsidR="00B32E51" w:rsidRPr="003E5C8F" w:rsidRDefault="00B32E51" w:rsidP="00546E84">
      <w:pPr>
        <w:contextualSpacing/>
        <w:rPr>
          <w:rFonts w:cs="Arial"/>
          <w:sz w:val="22"/>
          <w:szCs w:val="22"/>
        </w:rPr>
      </w:pPr>
    </w:p>
    <w:tbl>
      <w:tblPr>
        <w:tblStyle w:val="TableGrid"/>
        <w:tblW w:w="0" w:type="auto"/>
        <w:jc w:val="center"/>
        <w:tblLook w:val="04A0" w:firstRow="1" w:lastRow="0" w:firstColumn="1" w:lastColumn="0" w:noHBand="0" w:noVBand="1"/>
      </w:tblPr>
      <w:tblGrid>
        <w:gridCol w:w="4973"/>
        <w:gridCol w:w="783"/>
        <w:gridCol w:w="783"/>
        <w:gridCol w:w="783"/>
      </w:tblGrid>
      <w:tr w:rsidR="00B32E51" w:rsidRPr="003E5C8F" w14:paraId="3AA9536E" w14:textId="77777777" w:rsidTr="00B32E51">
        <w:trPr>
          <w:trHeight w:val="486"/>
          <w:jc w:val="center"/>
        </w:trPr>
        <w:tc>
          <w:tcPr>
            <w:tcW w:w="4973" w:type="dxa"/>
            <w:shd w:val="clear" w:color="auto" w:fill="CCFFFF"/>
            <w:vAlign w:val="center"/>
          </w:tcPr>
          <w:p w14:paraId="6A26B203" w14:textId="77777777" w:rsidR="005B5ABE" w:rsidRPr="004A688A" w:rsidRDefault="005B5ABE" w:rsidP="00B32E51">
            <w:pPr>
              <w:contextualSpacing/>
              <w:jc w:val="center"/>
              <w:rPr>
                <w:rFonts w:cs="Arial"/>
                <w:i/>
                <w:sz w:val="22"/>
                <w:szCs w:val="22"/>
              </w:rPr>
            </w:pPr>
            <w:r w:rsidRPr="004A688A">
              <w:rPr>
                <w:rFonts w:cs="Arial"/>
                <w:i/>
                <w:sz w:val="22"/>
                <w:szCs w:val="22"/>
              </w:rPr>
              <w:t>Target</w:t>
            </w:r>
          </w:p>
        </w:tc>
        <w:tc>
          <w:tcPr>
            <w:tcW w:w="783" w:type="dxa"/>
            <w:shd w:val="clear" w:color="auto" w:fill="CCFFFF"/>
            <w:vAlign w:val="center"/>
          </w:tcPr>
          <w:p w14:paraId="69881C51" w14:textId="77777777" w:rsidR="005B5ABE" w:rsidRPr="004A688A" w:rsidRDefault="005B5ABE" w:rsidP="00B32E51">
            <w:pPr>
              <w:contextualSpacing/>
              <w:jc w:val="center"/>
              <w:rPr>
                <w:rFonts w:cs="Arial"/>
                <w:i/>
                <w:sz w:val="22"/>
                <w:szCs w:val="22"/>
              </w:rPr>
            </w:pPr>
            <w:r w:rsidRPr="004A688A">
              <w:rPr>
                <w:rFonts w:cs="Arial"/>
                <w:i/>
                <w:sz w:val="22"/>
                <w:szCs w:val="22"/>
              </w:rPr>
              <w:t>2005</w:t>
            </w:r>
          </w:p>
        </w:tc>
        <w:tc>
          <w:tcPr>
            <w:tcW w:w="783" w:type="dxa"/>
            <w:shd w:val="clear" w:color="auto" w:fill="CCFFFF"/>
            <w:vAlign w:val="center"/>
          </w:tcPr>
          <w:p w14:paraId="25B3399A" w14:textId="77777777" w:rsidR="005B5ABE" w:rsidRPr="004A688A" w:rsidRDefault="005B5ABE" w:rsidP="00B32E51">
            <w:pPr>
              <w:contextualSpacing/>
              <w:jc w:val="center"/>
              <w:rPr>
                <w:rFonts w:cs="Arial"/>
                <w:i/>
                <w:sz w:val="22"/>
                <w:szCs w:val="22"/>
              </w:rPr>
            </w:pPr>
            <w:r w:rsidRPr="004A688A">
              <w:rPr>
                <w:rFonts w:cs="Arial"/>
                <w:i/>
                <w:sz w:val="22"/>
                <w:szCs w:val="22"/>
              </w:rPr>
              <w:t>2010</w:t>
            </w:r>
          </w:p>
        </w:tc>
        <w:tc>
          <w:tcPr>
            <w:tcW w:w="783" w:type="dxa"/>
            <w:shd w:val="clear" w:color="auto" w:fill="CCFFFF"/>
            <w:vAlign w:val="center"/>
          </w:tcPr>
          <w:p w14:paraId="67B58B2E" w14:textId="77777777" w:rsidR="005B5ABE" w:rsidRPr="004A688A" w:rsidRDefault="005B5ABE" w:rsidP="00B32E51">
            <w:pPr>
              <w:contextualSpacing/>
              <w:jc w:val="center"/>
              <w:rPr>
                <w:rFonts w:cs="Arial"/>
                <w:i/>
                <w:sz w:val="22"/>
                <w:szCs w:val="22"/>
              </w:rPr>
            </w:pPr>
            <w:r w:rsidRPr="004A688A">
              <w:rPr>
                <w:rFonts w:cs="Arial"/>
                <w:i/>
                <w:sz w:val="22"/>
                <w:szCs w:val="22"/>
              </w:rPr>
              <w:t>2015</w:t>
            </w:r>
          </w:p>
        </w:tc>
      </w:tr>
      <w:tr w:rsidR="00B32E51" w:rsidRPr="003E5C8F" w14:paraId="2CB7CD39" w14:textId="77777777" w:rsidTr="00B32E51">
        <w:trPr>
          <w:trHeight w:val="512"/>
          <w:jc w:val="center"/>
        </w:trPr>
        <w:tc>
          <w:tcPr>
            <w:tcW w:w="4973" w:type="dxa"/>
          </w:tcPr>
          <w:p w14:paraId="0CF27623" w14:textId="77777777" w:rsidR="005B5ABE" w:rsidRPr="003E5C8F" w:rsidRDefault="005B5ABE" w:rsidP="005B5ABE">
            <w:pPr>
              <w:contextualSpacing/>
              <w:rPr>
                <w:rFonts w:cs="Arial"/>
                <w:sz w:val="22"/>
                <w:szCs w:val="22"/>
              </w:rPr>
            </w:pPr>
            <w:r w:rsidRPr="003E5C8F">
              <w:rPr>
                <w:rFonts w:cs="Arial"/>
                <w:sz w:val="22"/>
                <w:szCs w:val="22"/>
              </w:rPr>
              <w:t>% of people in rural areas with access to safe water source</w:t>
            </w:r>
          </w:p>
        </w:tc>
        <w:tc>
          <w:tcPr>
            <w:tcW w:w="783" w:type="dxa"/>
          </w:tcPr>
          <w:p w14:paraId="4CAAC1A7" w14:textId="77777777" w:rsidR="005B5ABE" w:rsidRPr="003E5C8F" w:rsidRDefault="005B5ABE" w:rsidP="005B5ABE">
            <w:pPr>
              <w:contextualSpacing/>
              <w:jc w:val="center"/>
              <w:rPr>
                <w:rFonts w:cs="Arial"/>
                <w:sz w:val="22"/>
                <w:szCs w:val="22"/>
              </w:rPr>
            </w:pPr>
            <w:r w:rsidRPr="003E5C8F">
              <w:rPr>
                <w:rFonts w:cs="Arial"/>
                <w:sz w:val="22"/>
                <w:szCs w:val="22"/>
              </w:rPr>
              <w:t>30</w:t>
            </w:r>
          </w:p>
        </w:tc>
        <w:tc>
          <w:tcPr>
            <w:tcW w:w="783" w:type="dxa"/>
          </w:tcPr>
          <w:p w14:paraId="4DD41290" w14:textId="77777777" w:rsidR="005B5ABE" w:rsidRPr="003E5C8F" w:rsidRDefault="005B5ABE" w:rsidP="005B5ABE">
            <w:pPr>
              <w:contextualSpacing/>
              <w:jc w:val="center"/>
              <w:rPr>
                <w:rFonts w:cs="Arial"/>
                <w:sz w:val="22"/>
                <w:szCs w:val="22"/>
              </w:rPr>
            </w:pPr>
            <w:r w:rsidRPr="003E5C8F">
              <w:rPr>
                <w:rFonts w:cs="Arial"/>
                <w:sz w:val="22"/>
                <w:szCs w:val="22"/>
              </w:rPr>
              <w:t>40</w:t>
            </w:r>
          </w:p>
        </w:tc>
        <w:tc>
          <w:tcPr>
            <w:tcW w:w="783" w:type="dxa"/>
          </w:tcPr>
          <w:p w14:paraId="5BD8F18E" w14:textId="77777777" w:rsidR="005B5ABE" w:rsidRPr="003E5C8F" w:rsidRDefault="005B5ABE" w:rsidP="005B5ABE">
            <w:pPr>
              <w:contextualSpacing/>
              <w:jc w:val="center"/>
              <w:rPr>
                <w:rFonts w:cs="Arial"/>
                <w:sz w:val="22"/>
                <w:szCs w:val="22"/>
              </w:rPr>
            </w:pPr>
            <w:r w:rsidRPr="003E5C8F">
              <w:rPr>
                <w:rFonts w:cs="Arial"/>
                <w:sz w:val="22"/>
                <w:szCs w:val="22"/>
              </w:rPr>
              <w:t>50</w:t>
            </w:r>
          </w:p>
        </w:tc>
      </w:tr>
      <w:tr w:rsidR="00B32E51" w:rsidRPr="003E5C8F" w14:paraId="1EC3E677" w14:textId="77777777" w:rsidTr="00B32E51">
        <w:trPr>
          <w:trHeight w:val="512"/>
          <w:jc w:val="center"/>
        </w:trPr>
        <w:tc>
          <w:tcPr>
            <w:tcW w:w="4973" w:type="dxa"/>
          </w:tcPr>
          <w:p w14:paraId="2248C81E" w14:textId="77777777" w:rsidR="005B5ABE" w:rsidRPr="003E5C8F" w:rsidRDefault="005B5ABE" w:rsidP="005B5ABE">
            <w:pPr>
              <w:contextualSpacing/>
              <w:rPr>
                <w:rFonts w:cs="Arial"/>
                <w:sz w:val="22"/>
                <w:szCs w:val="22"/>
              </w:rPr>
            </w:pPr>
            <w:r w:rsidRPr="003E5C8F">
              <w:rPr>
                <w:rFonts w:cs="Arial"/>
                <w:sz w:val="22"/>
                <w:szCs w:val="22"/>
              </w:rPr>
              <w:t>% of people in rural areas with access to improved sanitation</w:t>
            </w:r>
          </w:p>
        </w:tc>
        <w:tc>
          <w:tcPr>
            <w:tcW w:w="783" w:type="dxa"/>
          </w:tcPr>
          <w:p w14:paraId="5D31FA84" w14:textId="77777777" w:rsidR="005B5ABE" w:rsidRPr="003E5C8F" w:rsidRDefault="005B5ABE" w:rsidP="005B5ABE">
            <w:pPr>
              <w:contextualSpacing/>
              <w:jc w:val="center"/>
              <w:rPr>
                <w:rFonts w:cs="Arial"/>
                <w:sz w:val="22"/>
                <w:szCs w:val="22"/>
              </w:rPr>
            </w:pPr>
            <w:r w:rsidRPr="003E5C8F">
              <w:rPr>
                <w:rFonts w:cs="Arial"/>
                <w:sz w:val="22"/>
                <w:szCs w:val="22"/>
              </w:rPr>
              <w:t>12</w:t>
            </w:r>
          </w:p>
        </w:tc>
        <w:tc>
          <w:tcPr>
            <w:tcW w:w="783" w:type="dxa"/>
          </w:tcPr>
          <w:p w14:paraId="61648F10" w14:textId="77777777" w:rsidR="005B5ABE" w:rsidRPr="003E5C8F" w:rsidRDefault="005B5ABE" w:rsidP="005B5ABE">
            <w:pPr>
              <w:contextualSpacing/>
              <w:jc w:val="center"/>
              <w:rPr>
                <w:rFonts w:cs="Arial"/>
                <w:sz w:val="22"/>
                <w:szCs w:val="22"/>
              </w:rPr>
            </w:pPr>
            <w:r w:rsidRPr="003E5C8F">
              <w:rPr>
                <w:rFonts w:cs="Arial"/>
                <w:sz w:val="22"/>
                <w:szCs w:val="22"/>
              </w:rPr>
              <w:t>20</w:t>
            </w:r>
          </w:p>
        </w:tc>
        <w:tc>
          <w:tcPr>
            <w:tcW w:w="783" w:type="dxa"/>
          </w:tcPr>
          <w:p w14:paraId="69D15557" w14:textId="77777777" w:rsidR="005B5ABE" w:rsidRPr="003E5C8F" w:rsidRDefault="005B5ABE" w:rsidP="005B5ABE">
            <w:pPr>
              <w:contextualSpacing/>
              <w:jc w:val="center"/>
              <w:rPr>
                <w:rFonts w:cs="Arial"/>
                <w:sz w:val="22"/>
                <w:szCs w:val="22"/>
              </w:rPr>
            </w:pPr>
            <w:r w:rsidRPr="003E5C8F">
              <w:rPr>
                <w:rFonts w:cs="Arial"/>
                <w:sz w:val="22"/>
                <w:szCs w:val="22"/>
              </w:rPr>
              <w:t>30</w:t>
            </w:r>
          </w:p>
        </w:tc>
      </w:tr>
    </w:tbl>
    <w:p w14:paraId="617FBEBE" w14:textId="77777777" w:rsidR="004A688A" w:rsidRDefault="004A688A" w:rsidP="00073B1F">
      <w:pPr>
        <w:rPr>
          <w:i/>
          <w:sz w:val="22"/>
          <w:szCs w:val="22"/>
        </w:rPr>
      </w:pPr>
    </w:p>
    <w:p w14:paraId="7CC55DE1" w14:textId="77777777" w:rsidR="000C1628" w:rsidRDefault="000C1628" w:rsidP="00073B1F">
      <w:pPr>
        <w:rPr>
          <w:i/>
          <w:sz w:val="22"/>
          <w:szCs w:val="22"/>
        </w:rPr>
      </w:pPr>
      <w:r w:rsidRPr="003E5C8F">
        <w:rPr>
          <w:i/>
          <w:sz w:val="22"/>
          <w:szCs w:val="22"/>
        </w:rPr>
        <w:t>Partners</w:t>
      </w:r>
    </w:p>
    <w:p w14:paraId="2E3A4667" w14:textId="77777777" w:rsidR="00365AF4" w:rsidRPr="003E5C8F" w:rsidRDefault="00365AF4" w:rsidP="00073B1F">
      <w:pPr>
        <w:rPr>
          <w:i/>
          <w:sz w:val="22"/>
          <w:szCs w:val="22"/>
        </w:rPr>
      </w:pPr>
    </w:p>
    <w:p w14:paraId="3AAF7F4B" w14:textId="6CE04FE9" w:rsidR="00D456D9" w:rsidRPr="003E5C8F" w:rsidRDefault="000D5D46" w:rsidP="00B32E51">
      <w:pPr>
        <w:ind w:firstLine="720"/>
        <w:rPr>
          <w:sz w:val="22"/>
          <w:szCs w:val="22"/>
        </w:rPr>
      </w:pPr>
      <w:r w:rsidRPr="003E5C8F">
        <w:rPr>
          <w:sz w:val="22"/>
          <w:szCs w:val="22"/>
        </w:rPr>
        <w:t>A joint initiative between East Meets West Foundation (EMW)</w:t>
      </w:r>
      <w:r w:rsidR="00142634" w:rsidRPr="003E5C8F">
        <w:rPr>
          <w:sz w:val="22"/>
          <w:szCs w:val="22"/>
        </w:rPr>
        <w:t>,</w:t>
      </w:r>
      <w:r w:rsidRPr="003E5C8F">
        <w:rPr>
          <w:sz w:val="22"/>
          <w:szCs w:val="22"/>
        </w:rPr>
        <w:t xml:space="preserve"> Ox</w:t>
      </w:r>
      <w:r w:rsidR="00D456D9" w:rsidRPr="003E5C8F">
        <w:rPr>
          <w:sz w:val="22"/>
          <w:szCs w:val="22"/>
        </w:rPr>
        <w:t xml:space="preserve">fam America’s Saving for Change, and </w:t>
      </w:r>
      <w:proofErr w:type="spellStart"/>
      <w:r w:rsidR="00D456D9" w:rsidRPr="003E5C8F">
        <w:rPr>
          <w:sz w:val="22"/>
          <w:szCs w:val="22"/>
        </w:rPr>
        <w:t>WaterSHED</w:t>
      </w:r>
      <w:proofErr w:type="spellEnd"/>
      <w:r w:rsidR="00D456D9" w:rsidRPr="003E5C8F">
        <w:rPr>
          <w:sz w:val="22"/>
          <w:szCs w:val="22"/>
        </w:rPr>
        <w:t>-Cambodia</w:t>
      </w:r>
      <w:r w:rsidR="00C650D0" w:rsidRPr="003E5C8F">
        <w:rPr>
          <w:sz w:val="22"/>
          <w:szCs w:val="22"/>
        </w:rPr>
        <w:t xml:space="preserve"> </w:t>
      </w:r>
      <w:r w:rsidR="00F24485">
        <w:rPr>
          <w:sz w:val="22"/>
          <w:szCs w:val="22"/>
        </w:rPr>
        <w:t>brings together a</w:t>
      </w:r>
      <w:r w:rsidR="00D456D9" w:rsidRPr="003E5C8F">
        <w:rPr>
          <w:sz w:val="22"/>
          <w:szCs w:val="22"/>
        </w:rPr>
        <w:t xml:space="preserve"> robust partnership </w:t>
      </w:r>
      <w:r w:rsidR="00F24485">
        <w:rPr>
          <w:sz w:val="22"/>
          <w:szCs w:val="22"/>
        </w:rPr>
        <w:t>with a</w:t>
      </w:r>
      <w:r w:rsidR="00D456D9" w:rsidRPr="003E5C8F">
        <w:rPr>
          <w:sz w:val="22"/>
          <w:szCs w:val="22"/>
        </w:rPr>
        <w:t xml:space="preserve"> set of </w:t>
      </w:r>
      <w:r w:rsidR="00BF0BEC" w:rsidRPr="003E5C8F">
        <w:rPr>
          <w:sz w:val="22"/>
          <w:szCs w:val="22"/>
        </w:rPr>
        <w:t xml:space="preserve">rich, </w:t>
      </w:r>
      <w:r w:rsidR="00D456D9" w:rsidRPr="003E5C8F">
        <w:rPr>
          <w:sz w:val="22"/>
          <w:szCs w:val="22"/>
        </w:rPr>
        <w:t xml:space="preserve">diverse experiences in </w:t>
      </w:r>
      <w:r w:rsidR="00BF0BEC" w:rsidRPr="003E5C8F">
        <w:rPr>
          <w:sz w:val="22"/>
          <w:szCs w:val="22"/>
        </w:rPr>
        <w:t xml:space="preserve">community-led </w:t>
      </w:r>
      <w:r w:rsidR="00021948" w:rsidRPr="003E5C8F">
        <w:rPr>
          <w:sz w:val="22"/>
          <w:szCs w:val="22"/>
        </w:rPr>
        <w:t>micro-</w:t>
      </w:r>
      <w:r w:rsidR="00BF0BEC" w:rsidRPr="003E5C8F">
        <w:rPr>
          <w:sz w:val="22"/>
          <w:szCs w:val="22"/>
        </w:rPr>
        <w:t>financing, market-</w:t>
      </w:r>
      <w:r w:rsidR="00D456D9" w:rsidRPr="003E5C8F">
        <w:rPr>
          <w:sz w:val="22"/>
          <w:szCs w:val="22"/>
        </w:rPr>
        <w:t>based approaches to hygien</w:t>
      </w:r>
      <w:r w:rsidR="00052AFF" w:rsidRPr="003E5C8F">
        <w:rPr>
          <w:sz w:val="22"/>
          <w:szCs w:val="22"/>
        </w:rPr>
        <w:t>e behavior</w:t>
      </w:r>
      <w:r w:rsidR="00D456D9" w:rsidRPr="003E5C8F">
        <w:rPr>
          <w:sz w:val="22"/>
          <w:szCs w:val="22"/>
        </w:rPr>
        <w:t xml:space="preserve"> change, and </w:t>
      </w:r>
      <w:r w:rsidR="000C1628" w:rsidRPr="003E5C8F">
        <w:rPr>
          <w:sz w:val="22"/>
          <w:szCs w:val="22"/>
        </w:rPr>
        <w:t xml:space="preserve">over </w:t>
      </w:r>
      <w:r w:rsidR="00052AFF" w:rsidRPr="003E5C8F">
        <w:rPr>
          <w:sz w:val="22"/>
          <w:szCs w:val="22"/>
        </w:rPr>
        <w:t>23</w:t>
      </w:r>
      <w:r w:rsidR="000C1628" w:rsidRPr="003E5C8F">
        <w:rPr>
          <w:sz w:val="22"/>
          <w:szCs w:val="22"/>
        </w:rPr>
        <w:t xml:space="preserve"> years of social </w:t>
      </w:r>
      <w:r w:rsidR="00BF0BEC" w:rsidRPr="003E5C8F">
        <w:rPr>
          <w:sz w:val="22"/>
          <w:szCs w:val="22"/>
        </w:rPr>
        <w:t>innovation</w:t>
      </w:r>
      <w:r w:rsidR="00B401EB" w:rsidRPr="003E5C8F">
        <w:rPr>
          <w:sz w:val="22"/>
          <w:szCs w:val="22"/>
        </w:rPr>
        <w:t xml:space="preserve"> in scaled-program impact and sustainability.</w:t>
      </w:r>
      <w:r w:rsidR="00546E84">
        <w:rPr>
          <w:sz w:val="22"/>
          <w:szCs w:val="22"/>
        </w:rPr>
        <w:t xml:space="preserve"> </w:t>
      </w:r>
      <w:r w:rsidR="00546E84" w:rsidRPr="00546E84">
        <w:rPr>
          <w:i/>
          <w:sz w:val="22"/>
          <w:szCs w:val="22"/>
        </w:rPr>
        <w:t xml:space="preserve">See Section </w:t>
      </w:r>
      <w:r w:rsidR="00365AF4">
        <w:rPr>
          <w:i/>
          <w:sz w:val="22"/>
          <w:szCs w:val="22"/>
        </w:rPr>
        <w:t>2</w:t>
      </w:r>
      <w:r w:rsidR="00546E84" w:rsidRPr="00546E84">
        <w:rPr>
          <w:i/>
          <w:sz w:val="22"/>
          <w:szCs w:val="22"/>
        </w:rPr>
        <w:t xml:space="preserve"> for details o</w:t>
      </w:r>
      <w:r w:rsidR="00546E84">
        <w:rPr>
          <w:i/>
          <w:sz w:val="22"/>
          <w:szCs w:val="22"/>
        </w:rPr>
        <w:t>n</w:t>
      </w:r>
      <w:r w:rsidR="00365AF4">
        <w:rPr>
          <w:i/>
          <w:sz w:val="22"/>
          <w:szCs w:val="22"/>
        </w:rPr>
        <w:t xml:space="preserve"> organizational capabilities</w:t>
      </w:r>
      <w:r w:rsidR="00546E84" w:rsidRPr="00546E84">
        <w:rPr>
          <w:i/>
          <w:sz w:val="22"/>
          <w:szCs w:val="22"/>
        </w:rPr>
        <w:t xml:space="preserve">. </w:t>
      </w:r>
    </w:p>
    <w:p w14:paraId="79B33224" w14:textId="77777777" w:rsidR="00A90E11" w:rsidRPr="003E5C8F" w:rsidRDefault="00A90E11" w:rsidP="00073B1F">
      <w:pPr>
        <w:rPr>
          <w:sz w:val="22"/>
          <w:szCs w:val="22"/>
        </w:rPr>
      </w:pPr>
    </w:p>
    <w:p w14:paraId="6A977D5F" w14:textId="77777777" w:rsidR="00A90E11" w:rsidRDefault="00A90E11" w:rsidP="00073B1F">
      <w:pPr>
        <w:rPr>
          <w:i/>
          <w:sz w:val="22"/>
          <w:szCs w:val="22"/>
        </w:rPr>
      </w:pPr>
      <w:r w:rsidRPr="003E5C8F">
        <w:rPr>
          <w:i/>
          <w:sz w:val="22"/>
          <w:szCs w:val="22"/>
        </w:rPr>
        <w:t>Objective</w:t>
      </w:r>
    </w:p>
    <w:p w14:paraId="208BCCBE" w14:textId="77777777" w:rsidR="00365AF4" w:rsidRPr="003E5C8F" w:rsidRDefault="00365AF4" w:rsidP="00073B1F">
      <w:pPr>
        <w:rPr>
          <w:i/>
          <w:sz w:val="22"/>
          <w:szCs w:val="22"/>
        </w:rPr>
      </w:pPr>
    </w:p>
    <w:p w14:paraId="50B18DBC" w14:textId="74D94E6A" w:rsidR="00F24485" w:rsidRDefault="00187879" w:rsidP="00B32E51">
      <w:pPr>
        <w:ind w:firstLine="720"/>
        <w:rPr>
          <w:sz w:val="22"/>
          <w:szCs w:val="22"/>
        </w:rPr>
      </w:pPr>
      <w:r>
        <w:rPr>
          <w:sz w:val="22"/>
          <w:szCs w:val="22"/>
        </w:rPr>
        <w:t>P</w:t>
      </w:r>
      <w:r w:rsidR="006861F4" w:rsidRPr="003E5C8F">
        <w:rPr>
          <w:sz w:val="22"/>
          <w:szCs w:val="22"/>
        </w:rPr>
        <w:t>ro</w:t>
      </w:r>
      <w:r w:rsidR="000A1F27">
        <w:rPr>
          <w:sz w:val="22"/>
          <w:szCs w:val="22"/>
        </w:rPr>
        <w:t>vide sanitation facilities,</w:t>
      </w:r>
      <w:r w:rsidR="006861F4" w:rsidRPr="003E5C8F">
        <w:rPr>
          <w:sz w:val="22"/>
          <w:szCs w:val="22"/>
        </w:rPr>
        <w:t xml:space="preserve"> household lat</w:t>
      </w:r>
      <w:r w:rsidR="000A1F27">
        <w:rPr>
          <w:sz w:val="22"/>
          <w:szCs w:val="22"/>
        </w:rPr>
        <w:t xml:space="preserve">rines and hand washing devices, </w:t>
      </w:r>
      <w:r w:rsidR="006861F4" w:rsidRPr="003E5C8F">
        <w:rPr>
          <w:sz w:val="22"/>
          <w:szCs w:val="22"/>
        </w:rPr>
        <w:t>and h</w:t>
      </w:r>
      <w:r w:rsidR="00F24485">
        <w:rPr>
          <w:sz w:val="22"/>
          <w:szCs w:val="22"/>
        </w:rPr>
        <w:t xml:space="preserve">ygiene behavior change (HBC) </w:t>
      </w:r>
      <w:r>
        <w:rPr>
          <w:sz w:val="22"/>
          <w:szCs w:val="22"/>
        </w:rPr>
        <w:t xml:space="preserve">using an Output-Based Aid (OBA) approach </w:t>
      </w:r>
      <w:r w:rsidR="00F24485">
        <w:rPr>
          <w:sz w:val="22"/>
          <w:szCs w:val="22"/>
        </w:rPr>
        <w:t xml:space="preserve">to 2 targeted districts in one of three provinces including </w:t>
      </w:r>
      <w:proofErr w:type="spellStart"/>
      <w:r w:rsidR="00F24485">
        <w:rPr>
          <w:sz w:val="22"/>
          <w:szCs w:val="22"/>
        </w:rPr>
        <w:t>Kandal</w:t>
      </w:r>
      <w:proofErr w:type="spellEnd"/>
      <w:r w:rsidR="00F24485">
        <w:rPr>
          <w:sz w:val="22"/>
          <w:szCs w:val="22"/>
        </w:rPr>
        <w:t xml:space="preserve">, </w:t>
      </w:r>
      <w:proofErr w:type="spellStart"/>
      <w:r w:rsidR="00F24485">
        <w:rPr>
          <w:sz w:val="22"/>
          <w:szCs w:val="22"/>
        </w:rPr>
        <w:t>Svay</w:t>
      </w:r>
      <w:proofErr w:type="spellEnd"/>
      <w:r w:rsidR="00F24485">
        <w:rPr>
          <w:sz w:val="22"/>
          <w:szCs w:val="22"/>
        </w:rPr>
        <w:t xml:space="preserve"> </w:t>
      </w:r>
      <w:proofErr w:type="spellStart"/>
      <w:r w:rsidR="00F24485">
        <w:rPr>
          <w:sz w:val="22"/>
          <w:szCs w:val="22"/>
        </w:rPr>
        <w:t>Rieng</w:t>
      </w:r>
      <w:proofErr w:type="spellEnd"/>
      <w:r w:rsidR="00F24485">
        <w:rPr>
          <w:sz w:val="22"/>
          <w:szCs w:val="22"/>
        </w:rPr>
        <w:t>, or Takeo</w:t>
      </w:r>
      <w:r w:rsidR="000A1F27">
        <w:rPr>
          <w:sz w:val="22"/>
          <w:szCs w:val="22"/>
        </w:rPr>
        <w:t xml:space="preserve"> for approximately </w:t>
      </w:r>
      <w:r w:rsidR="00F24485">
        <w:rPr>
          <w:sz w:val="22"/>
          <w:szCs w:val="22"/>
        </w:rPr>
        <w:t xml:space="preserve">300 households. </w:t>
      </w:r>
    </w:p>
    <w:p w14:paraId="46975889" w14:textId="77777777" w:rsidR="00F24485" w:rsidRDefault="00F24485" w:rsidP="00073B1F">
      <w:pPr>
        <w:rPr>
          <w:sz w:val="22"/>
          <w:szCs w:val="22"/>
        </w:rPr>
      </w:pPr>
    </w:p>
    <w:p w14:paraId="372C678C" w14:textId="77777777" w:rsidR="00BF0BEC" w:rsidRDefault="00B401EB" w:rsidP="00073B1F">
      <w:pPr>
        <w:rPr>
          <w:i/>
          <w:sz w:val="22"/>
          <w:szCs w:val="22"/>
        </w:rPr>
      </w:pPr>
      <w:r w:rsidRPr="003E5C8F">
        <w:rPr>
          <w:i/>
          <w:sz w:val="22"/>
          <w:szCs w:val="22"/>
        </w:rPr>
        <w:t>Approach</w:t>
      </w:r>
    </w:p>
    <w:p w14:paraId="089A3FBC" w14:textId="77777777" w:rsidR="00365AF4" w:rsidRPr="003E5C8F" w:rsidRDefault="00365AF4" w:rsidP="00073B1F">
      <w:pPr>
        <w:rPr>
          <w:i/>
          <w:sz w:val="22"/>
          <w:szCs w:val="22"/>
        </w:rPr>
      </w:pPr>
    </w:p>
    <w:p w14:paraId="3D8D2F4A" w14:textId="77777777" w:rsidR="00F8491E" w:rsidRPr="003E5C8F" w:rsidRDefault="00F8491E" w:rsidP="00B32E51">
      <w:pPr>
        <w:ind w:firstLine="720"/>
        <w:rPr>
          <w:sz w:val="22"/>
          <w:szCs w:val="22"/>
        </w:rPr>
      </w:pPr>
      <w:r w:rsidRPr="003E5C8F">
        <w:rPr>
          <w:sz w:val="22"/>
          <w:szCs w:val="22"/>
        </w:rPr>
        <w:t>The typical approach used in Cambodia to improve sanitation often focuses on providing subsidized latrine hardware to households in exchange for a contribution of cash or construction labor. Consequently, only the better-off households who can afford to contribute benefit from the subsidy, which does not necessarily result in a change to their defecation habits, as years later hardware has been found unused and latrines abandoned (Robin</w:t>
      </w:r>
      <w:r w:rsidR="00187879">
        <w:rPr>
          <w:sz w:val="22"/>
          <w:szCs w:val="22"/>
        </w:rPr>
        <w:t xml:space="preserve">son, 2007; </w:t>
      </w:r>
      <w:proofErr w:type="spellStart"/>
      <w:r w:rsidR="00187879">
        <w:rPr>
          <w:sz w:val="22"/>
          <w:szCs w:val="22"/>
        </w:rPr>
        <w:t>Sok</w:t>
      </w:r>
      <w:proofErr w:type="spellEnd"/>
      <w:r w:rsidR="00187879">
        <w:rPr>
          <w:sz w:val="22"/>
          <w:szCs w:val="22"/>
        </w:rPr>
        <w:t xml:space="preserve"> &amp; </w:t>
      </w:r>
      <w:proofErr w:type="spellStart"/>
      <w:r w:rsidR="00187879">
        <w:rPr>
          <w:sz w:val="22"/>
          <w:szCs w:val="22"/>
        </w:rPr>
        <w:t>Catalla</w:t>
      </w:r>
      <w:proofErr w:type="spellEnd"/>
      <w:r w:rsidR="00187879">
        <w:rPr>
          <w:sz w:val="22"/>
          <w:szCs w:val="22"/>
        </w:rPr>
        <w:t>, 2009), which is especially</w:t>
      </w:r>
      <w:r w:rsidRPr="003E5C8F">
        <w:rPr>
          <w:sz w:val="22"/>
          <w:szCs w:val="22"/>
        </w:rPr>
        <w:t xml:space="preserve"> common when the end-user’s preferences or desires are not taken into account (Jenkins &amp; </w:t>
      </w:r>
      <w:proofErr w:type="spellStart"/>
      <w:r w:rsidRPr="003E5C8F">
        <w:rPr>
          <w:sz w:val="22"/>
          <w:szCs w:val="22"/>
        </w:rPr>
        <w:t>Sugden</w:t>
      </w:r>
      <w:proofErr w:type="spellEnd"/>
      <w:r w:rsidRPr="003E5C8F">
        <w:rPr>
          <w:sz w:val="22"/>
          <w:szCs w:val="22"/>
        </w:rPr>
        <w:t xml:space="preserve">, 2006).  Accordingly, simply making latrines cheaper does not increase sustainable demand, and in terms of supply, nor does it </w:t>
      </w:r>
      <w:r w:rsidR="00C61CBC" w:rsidRPr="003E5C8F">
        <w:rPr>
          <w:sz w:val="22"/>
          <w:szCs w:val="22"/>
        </w:rPr>
        <w:t>promote</w:t>
      </w:r>
      <w:r w:rsidRPr="003E5C8F">
        <w:rPr>
          <w:sz w:val="22"/>
          <w:szCs w:val="22"/>
        </w:rPr>
        <w:t xml:space="preserve"> an effective supply chain accessible by the end-user.</w:t>
      </w:r>
    </w:p>
    <w:p w14:paraId="6C5C0405" w14:textId="77777777" w:rsidR="00F8491E" w:rsidRPr="003E5C8F" w:rsidRDefault="00F8491E" w:rsidP="00F8491E">
      <w:pPr>
        <w:rPr>
          <w:sz w:val="22"/>
          <w:szCs w:val="22"/>
        </w:rPr>
      </w:pPr>
    </w:p>
    <w:p w14:paraId="551A27DE" w14:textId="2B1BE06D" w:rsidR="00B32E51" w:rsidRDefault="00F8491E" w:rsidP="00365AF4">
      <w:pPr>
        <w:ind w:firstLine="720"/>
        <w:rPr>
          <w:sz w:val="22"/>
          <w:szCs w:val="22"/>
        </w:rPr>
      </w:pPr>
      <w:r w:rsidRPr="003E5C8F">
        <w:rPr>
          <w:sz w:val="22"/>
          <w:szCs w:val="22"/>
        </w:rPr>
        <w:t xml:space="preserve">EMW and its partners recognize that even though the poverty level in </w:t>
      </w:r>
      <w:r w:rsidR="0061622F" w:rsidRPr="003E5C8F">
        <w:rPr>
          <w:sz w:val="22"/>
          <w:szCs w:val="22"/>
        </w:rPr>
        <w:t>Takeo</w:t>
      </w:r>
      <w:r w:rsidRPr="003E5C8F">
        <w:rPr>
          <w:sz w:val="22"/>
          <w:szCs w:val="22"/>
        </w:rPr>
        <w:t xml:space="preserve">, </w:t>
      </w:r>
      <w:proofErr w:type="spellStart"/>
      <w:r w:rsidR="0061622F" w:rsidRPr="003E5C8F">
        <w:rPr>
          <w:sz w:val="22"/>
          <w:szCs w:val="22"/>
        </w:rPr>
        <w:t>Kandal</w:t>
      </w:r>
      <w:proofErr w:type="spellEnd"/>
      <w:r w:rsidRPr="003E5C8F">
        <w:rPr>
          <w:sz w:val="22"/>
          <w:szCs w:val="22"/>
        </w:rPr>
        <w:t xml:space="preserve">, and </w:t>
      </w:r>
      <w:proofErr w:type="spellStart"/>
      <w:r w:rsidR="0061622F" w:rsidRPr="003E5C8F">
        <w:rPr>
          <w:sz w:val="22"/>
          <w:szCs w:val="22"/>
        </w:rPr>
        <w:t>Svay</w:t>
      </w:r>
      <w:proofErr w:type="spellEnd"/>
      <w:r w:rsidR="007A21B9" w:rsidRPr="003E5C8F">
        <w:rPr>
          <w:sz w:val="22"/>
          <w:szCs w:val="22"/>
        </w:rPr>
        <w:t xml:space="preserve"> </w:t>
      </w:r>
      <w:proofErr w:type="spellStart"/>
      <w:r w:rsidR="007A21B9" w:rsidRPr="003E5C8F">
        <w:rPr>
          <w:sz w:val="22"/>
          <w:szCs w:val="22"/>
        </w:rPr>
        <w:t>Rieng</w:t>
      </w:r>
      <w:proofErr w:type="spellEnd"/>
      <w:r w:rsidRPr="003E5C8F">
        <w:rPr>
          <w:sz w:val="22"/>
          <w:szCs w:val="22"/>
        </w:rPr>
        <w:t xml:space="preserve"> provinces are among the lowest in Cambodia, so in fact is the sanitation coverage rates.  </w:t>
      </w:r>
    </w:p>
    <w:p w14:paraId="6557AB9D" w14:textId="77777777" w:rsidR="00187879" w:rsidRDefault="00187879" w:rsidP="00F8491E">
      <w:pPr>
        <w:rPr>
          <w:sz w:val="22"/>
          <w:szCs w:val="22"/>
        </w:rPr>
      </w:pPr>
    </w:p>
    <w:tbl>
      <w:tblPr>
        <w:tblStyle w:val="TableGrid"/>
        <w:tblW w:w="8200" w:type="dxa"/>
        <w:jc w:val="center"/>
        <w:tblLayout w:type="fixed"/>
        <w:tblLook w:val="04A0" w:firstRow="1" w:lastRow="0" w:firstColumn="1" w:lastColumn="0" w:noHBand="0" w:noVBand="1"/>
      </w:tblPr>
      <w:tblGrid>
        <w:gridCol w:w="1305"/>
        <w:gridCol w:w="2298"/>
        <w:gridCol w:w="2298"/>
        <w:gridCol w:w="2299"/>
      </w:tblGrid>
      <w:tr w:rsidR="003012F5" w:rsidRPr="003E5C8F" w14:paraId="63C66C7E" w14:textId="77777777" w:rsidTr="00B32E51">
        <w:trPr>
          <w:trHeight w:val="201"/>
          <w:jc w:val="center"/>
        </w:trPr>
        <w:tc>
          <w:tcPr>
            <w:tcW w:w="1305" w:type="dxa"/>
            <w:vAlign w:val="center"/>
          </w:tcPr>
          <w:p w14:paraId="2193D6C5" w14:textId="77777777" w:rsidR="003012F5" w:rsidRPr="003E5C8F" w:rsidRDefault="003012F5" w:rsidP="00D80729">
            <w:pPr>
              <w:jc w:val="center"/>
              <w:rPr>
                <w:i/>
                <w:sz w:val="22"/>
                <w:szCs w:val="22"/>
              </w:rPr>
            </w:pPr>
            <w:r w:rsidRPr="003E5C8F">
              <w:rPr>
                <w:i/>
                <w:sz w:val="22"/>
                <w:szCs w:val="22"/>
              </w:rPr>
              <w:t>Provinces</w:t>
            </w:r>
          </w:p>
        </w:tc>
        <w:tc>
          <w:tcPr>
            <w:tcW w:w="2298" w:type="dxa"/>
            <w:vAlign w:val="center"/>
          </w:tcPr>
          <w:p w14:paraId="3FA2F924" w14:textId="77777777" w:rsidR="003012F5" w:rsidRPr="003E5C8F" w:rsidRDefault="003012F5" w:rsidP="003012F5">
            <w:pPr>
              <w:jc w:val="center"/>
              <w:rPr>
                <w:i/>
                <w:sz w:val="22"/>
                <w:szCs w:val="22"/>
              </w:rPr>
            </w:pPr>
            <w:r w:rsidRPr="003E5C8F">
              <w:rPr>
                <w:i/>
                <w:sz w:val="22"/>
                <w:szCs w:val="22"/>
              </w:rPr>
              <w:t>Poverty (%)</w:t>
            </w:r>
          </w:p>
        </w:tc>
        <w:tc>
          <w:tcPr>
            <w:tcW w:w="2298" w:type="dxa"/>
            <w:vAlign w:val="center"/>
          </w:tcPr>
          <w:p w14:paraId="6A3CAF0B" w14:textId="77777777" w:rsidR="003012F5" w:rsidRPr="003E5C8F" w:rsidRDefault="003012F5" w:rsidP="003012F5">
            <w:pPr>
              <w:jc w:val="center"/>
              <w:rPr>
                <w:i/>
                <w:sz w:val="22"/>
                <w:szCs w:val="22"/>
              </w:rPr>
            </w:pPr>
            <w:r>
              <w:rPr>
                <w:i/>
                <w:sz w:val="22"/>
                <w:szCs w:val="22"/>
              </w:rPr>
              <w:t>Sanitation Coverage (2004)</w:t>
            </w:r>
          </w:p>
        </w:tc>
        <w:tc>
          <w:tcPr>
            <w:tcW w:w="2299" w:type="dxa"/>
            <w:vAlign w:val="center"/>
          </w:tcPr>
          <w:p w14:paraId="35143873" w14:textId="77777777" w:rsidR="003012F5" w:rsidRPr="003E5C8F" w:rsidRDefault="003012F5" w:rsidP="003012F5">
            <w:pPr>
              <w:jc w:val="center"/>
              <w:rPr>
                <w:i/>
                <w:sz w:val="22"/>
                <w:szCs w:val="22"/>
              </w:rPr>
            </w:pPr>
            <w:r>
              <w:rPr>
                <w:i/>
                <w:sz w:val="22"/>
                <w:szCs w:val="22"/>
              </w:rPr>
              <w:t>Cambodia Millennium Development Goal 2015</w:t>
            </w:r>
          </w:p>
        </w:tc>
      </w:tr>
      <w:tr w:rsidR="003012F5" w:rsidRPr="003E5C8F" w14:paraId="55F58CAE" w14:textId="77777777" w:rsidTr="00B32E51">
        <w:trPr>
          <w:trHeight w:val="201"/>
          <w:jc w:val="center"/>
        </w:trPr>
        <w:tc>
          <w:tcPr>
            <w:tcW w:w="1305" w:type="dxa"/>
            <w:shd w:val="clear" w:color="auto" w:fill="FFFF99"/>
          </w:tcPr>
          <w:p w14:paraId="4E3CFA02" w14:textId="77777777" w:rsidR="003012F5" w:rsidRPr="003E5C8F" w:rsidRDefault="003012F5" w:rsidP="00D80729">
            <w:pPr>
              <w:rPr>
                <w:sz w:val="22"/>
                <w:szCs w:val="22"/>
              </w:rPr>
            </w:pPr>
            <w:proofErr w:type="spellStart"/>
            <w:r w:rsidRPr="003E5C8F">
              <w:rPr>
                <w:sz w:val="22"/>
                <w:szCs w:val="22"/>
              </w:rPr>
              <w:t>Kandal</w:t>
            </w:r>
            <w:proofErr w:type="spellEnd"/>
          </w:p>
        </w:tc>
        <w:tc>
          <w:tcPr>
            <w:tcW w:w="2298" w:type="dxa"/>
            <w:shd w:val="clear" w:color="auto" w:fill="FFFF99"/>
            <w:vAlign w:val="bottom"/>
          </w:tcPr>
          <w:p w14:paraId="14500F92" w14:textId="77777777" w:rsidR="003012F5" w:rsidRPr="003E5C8F" w:rsidRDefault="003012F5" w:rsidP="00D80729">
            <w:pPr>
              <w:jc w:val="center"/>
              <w:rPr>
                <w:rFonts w:cs="Arial"/>
                <w:sz w:val="22"/>
                <w:szCs w:val="22"/>
                <w:lang w:val="de-DE"/>
              </w:rPr>
            </w:pPr>
            <w:r w:rsidRPr="003E5C8F">
              <w:rPr>
                <w:rFonts w:cs="Arial"/>
                <w:sz w:val="22"/>
                <w:szCs w:val="22"/>
                <w:lang w:val="de-DE"/>
              </w:rPr>
              <w:t>15.9</w:t>
            </w:r>
          </w:p>
        </w:tc>
        <w:tc>
          <w:tcPr>
            <w:tcW w:w="2298" w:type="dxa"/>
            <w:shd w:val="clear" w:color="auto" w:fill="FFFF99"/>
          </w:tcPr>
          <w:p w14:paraId="5E721CA5" w14:textId="77777777" w:rsidR="003012F5" w:rsidRPr="003E5C8F" w:rsidRDefault="003012F5" w:rsidP="00D80729">
            <w:pPr>
              <w:jc w:val="center"/>
              <w:rPr>
                <w:rFonts w:cs="Arial"/>
                <w:sz w:val="22"/>
                <w:szCs w:val="22"/>
                <w:lang w:val="de-DE"/>
              </w:rPr>
            </w:pPr>
            <w:r w:rsidRPr="003E5C8F">
              <w:rPr>
                <w:rFonts w:cs="Arial"/>
                <w:sz w:val="22"/>
                <w:szCs w:val="22"/>
                <w:lang w:val="de-DE"/>
              </w:rPr>
              <w:t>26%</w:t>
            </w:r>
          </w:p>
        </w:tc>
        <w:tc>
          <w:tcPr>
            <w:tcW w:w="2299" w:type="dxa"/>
            <w:shd w:val="clear" w:color="auto" w:fill="FFFF99"/>
          </w:tcPr>
          <w:p w14:paraId="5AC1C027" w14:textId="77777777" w:rsidR="003012F5" w:rsidRPr="003E5C8F" w:rsidRDefault="003012F5" w:rsidP="00D80729">
            <w:pPr>
              <w:jc w:val="center"/>
              <w:rPr>
                <w:rFonts w:cs="Arial"/>
                <w:sz w:val="22"/>
                <w:szCs w:val="22"/>
                <w:lang w:val="de-DE"/>
              </w:rPr>
            </w:pPr>
            <w:r>
              <w:rPr>
                <w:rFonts w:cs="Arial"/>
                <w:sz w:val="22"/>
                <w:szCs w:val="22"/>
                <w:lang w:val="de-DE"/>
              </w:rPr>
              <w:t>30</w:t>
            </w:r>
            <w:r w:rsidRPr="003E5C8F">
              <w:rPr>
                <w:rFonts w:cs="Arial"/>
                <w:sz w:val="22"/>
                <w:szCs w:val="22"/>
                <w:lang w:val="de-DE"/>
              </w:rPr>
              <w:t>%</w:t>
            </w:r>
          </w:p>
        </w:tc>
      </w:tr>
      <w:tr w:rsidR="003012F5" w:rsidRPr="003E5C8F" w14:paraId="5EE1039F" w14:textId="77777777" w:rsidTr="00B32E51">
        <w:trPr>
          <w:trHeight w:val="201"/>
          <w:jc w:val="center"/>
        </w:trPr>
        <w:tc>
          <w:tcPr>
            <w:tcW w:w="1305" w:type="dxa"/>
            <w:tcBorders>
              <w:bottom w:val="single" w:sz="4" w:space="0" w:color="auto"/>
            </w:tcBorders>
            <w:shd w:val="clear" w:color="auto" w:fill="FFFF99"/>
          </w:tcPr>
          <w:p w14:paraId="4822DA5C" w14:textId="77777777" w:rsidR="003012F5" w:rsidRPr="003E5C8F" w:rsidRDefault="003012F5" w:rsidP="00D80729">
            <w:pPr>
              <w:rPr>
                <w:sz w:val="22"/>
                <w:szCs w:val="22"/>
              </w:rPr>
            </w:pPr>
            <w:proofErr w:type="spellStart"/>
            <w:r w:rsidRPr="003E5C8F">
              <w:rPr>
                <w:sz w:val="22"/>
                <w:szCs w:val="22"/>
              </w:rPr>
              <w:t>Svay</w:t>
            </w:r>
            <w:proofErr w:type="spellEnd"/>
            <w:r w:rsidRPr="003E5C8F">
              <w:rPr>
                <w:sz w:val="22"/>
                <w:szCs w:val="22"/>
              </w:rPr>
              <w:t xml:space="preserve"> </w:t>
            </w:r>
            <w:proofErr w:type="spellStart"/>
            <w:r w:rsidRPr="003E5C8F">
              <w:rPr>
                <w:sz w:val="22"/>
                <w:szCs w:val="22"/>
              </w:rPr>
              <w:t>Rieng</w:t>
            </w:r>
            <w:proofErr w:type="spellEnd"/>
          </w:p>
        </w:tc>
        <w:tc>
          <w:tcPr>
            <w:tcW w:w="2298" w:type="dxa"/>
            <w:tcBorders>
              <w:bottom w:val="single" w:sz="4" w:space="0" w:color="auto"/>
            </w:tcBorders>
            <w:shd w:val="clear" w:color="auto" w:fill="FFFF99"/>
            <w:vAlign w:val="bottom"/>
          </w:tcPr>
          <w:p w14:paraId="7C1FCB84" w14:textId="77777777" w:rsidR="003012F5" w:rsidRPr="003E5C8F" w:rsidRDefault="003012F5" w:rsidP="00D80729">
            <w:pPr>
              <w:jc w:val="center"/>
              <w:rPr>
                <w:rFonts w:cs="Arial"/>
                <w:sz w:val="22"/>
                <w:szCs w:val="22"/>
              </w:rPr>
            </w:pPr>
            <w:r w:rsidRPr="003E5C8F">
              <w:rPr>
                <w:rFonts w:cs="Arial"/>
                <w:sz w:val="22"/>
                <w:szCs w:val="22"/>
              </w:rPr>
              <w:t>21.5</w:t>
            </w:r>
          </w:p>
        </w:tc>
        <w:tc>
          <w:tcPr>
            <w:tcW w:w="2298" w:type="dxa"/>
            <w:tcBorders>
              <w:bottom w:val="single" w:sz="4" w:space="0" w:color="auto"/>
            </w:tcBorders>
            <w:shd w:val="clear" w:color="auto" w:fill="FFFF99"/>
          </w:tcPr>
          <w:p w14:paraId="6ACF8DD2" w14:textId="77777777" w:rsidR="003012F5" w:rsidRPr="003E5C8F" w:rsidRDefault="003012F5" w:rsidP="00D80729">
            <w:pPr>
              <w:jc w:val="center"/>
              <w:rPr>
                <w:rFonts w:cs="Arial"/>
                <w:sz w:val="22"/>
                <w:szCs w:val="22"/>
              </w:rPr>
            </w:pPr>
            <w:r>
              <w:rPr>
                <w:rFonts w:cs="Arial"/>
                <w:sz w:val="22"/>
                <w:szCs w:val="22"/>
              </w:rPr>
              <w:t>9%</w:t>
            </w:r>
          </w:p>
        </w:tc>
        <w:tc>
          <w:tcPr>
            <w:tcW w:w="2299" w:type="dxa"/>
            <w:tcBorders>
              <w:bottom w:val="single" w:sz="4" w:space="0" w:color="auto"/>
            </w:tcBorders>
            <w:shd w:val="clear" w:color="auto" w:fill="FFFF99"/>
          </w:tcPr>
          <w:p w14:paraId="3780AFB2" w14:textId="77777777" w:rsidR="003012F5" w:rsidRPr="003E5C8F" w:rsidRDefault="003012F5" w:rsidP="00D80729">
            <w:pPr>
              <w:jc w:val="center"/>
              <w:rPr>
                <w:rFonts w:cs="Arial"/>
                <w:sz w:val="22"/>
                <w:szCs w:val="22"/>
              </w:rPr>
            </w:pPr>
            <w:r>
              <w:rPr>
                <w:rFonts w:cs="Arial"/>
                <w:sz w:val="22"/>
                <w:szCs w:val="22"/>
              </w:rPr>
              <w:t>30%</w:t>
            </w:r>
          </w:p>
        </w:tc>
      </w:tr>
      <w:tr w:rsidR="003012F5" w:rsidRPr="003E5C8F" w14:paraId="72CB66A3" w14:textId="77777777" w:rsidTr="00B32E51">
        <w:trPr>
          <w:trHeight w:val="201"/>
          <w:jc w:val="center"/>
        </w:trPr>
        <w:tc>
          <w:tcPr>
            <w:tcW w:w="1305" w:type="dxa"/>
            <w:shd w:val="clear" w:color="auto" w:fill="FFFF99"/>
          </w:tcPr>
          <w:p w14:paraId="7954E14C" w14:textId="77777777" w:rsidR="003012F5" w:rsidRPr="003E5C8F" w:rsidRDefault="003012F5" w:rsidP="00D80729">
            <w:pPr>
              <w:rPr>
                <w:sz w:val="22"/>
                <w:szCs w:val="22"/>
              </w:rPr>
            </w:pPr>
            <w:r w:rsidRPr="003E5C8F">
              <w:rPr>
                <w:sz w:val="22"/>
                <w:szCs w:val="22"/>
              </w:rPr>
              <w:t>Takeo</w:t>
            </w:r>
          </w:p>
        </w:tc>
        <w:tc>
          <w:tcPr>
            <w:tcW w:w="2298" w:type="dxa"/>
            <w:shd w:val="clear" w:color="auto" w:fill="FFFF99"/>
            <w:vAlign w:val="bottom"/>
          </w:tcPr>
          <w:p w14:paraId="48540816" w14:textId="77777777" w:rsidR="003012F5" w:rsidRPr="003E5C8F" w:rsidRDefault="003012F5" w:rsidP="00D80729">
            <w:pPr>
              <w:jc w:val="center"/>
              <w:rPr>
                <w:rFonts w:cs="Arial"/>
                <w:sz w:val="22"/>
                <w:szCs w:val="22"/>
              </w:rPr>
            </w:pPr>
            <w:r w:rsidRPr="003E5C8F">
              <w:rPr>
                <w:rFonts w:cs="Arial"/>
                <w:sz w:val="22"/>
                <w:szCs w:val="22"/>
              </w:rPr>
              <w:t>23.4</w:t>
            </w:r>
          </w:p>
        </w:tc>
        <w:tc>
          <w:tcPr>
            <w:tcW w:w="2298" w:type="dxa"/>
            <w:shd w:val="clear" w:color="auto" w:fill="FFFF99"/>
          </w:tcPr>
          <w:p w14:paraId="5AC707FC" w14:textId="77777777" w:rsidR="003012F5" w:rsidRPr="003E5C8F" w:rsidRDefault="003012F5" w:rsidP="00D80729">
            <w:pPr>
              <w:jc w:val="center"/>
              <w:rPr>
                <w:rFonts w:cs="Arial"/>
                <w:sz w:val="22"/>
                <w:szCs w:val="22"/>
              </w:rPr>
            </w:pPr>
            <w:r>
              <w:rPr>
                <w:rFonts w:cs="Arial"/>
                <w:sz w:val="22"/>
                <w:szCs w:val="22"/>
              </w:rPr>
              <w:t>12%</w:t>
            </w:r>
          </w:p>
        </w:tc>
        <w:tc>
          <w:tcPr>
            <w:tcW w:w="2299" w:type="dxa"/>
            <w:shd w:val="clear" w:color="auto" w:fill="FFFF99"/>
          </w:tcPr>
          <w:p w14:paraId="208A4024" w14:textId="77777777" w:rsidR="003012F5" w:rsidRPr="003E5C8F" w:rsidRDefault="003012F5" w:rsidP="00D80729">
            <w:pPr>
              <w:jc w:val="center"/>
              <w:rPr>
                <w:rFonts w:cs="Arial"/>
                <w:sz w:val="22"/>
                <w:szCs w:val="22"/>
              </w:rPr>
            </w:pPr>
            <w:r>
              <w:rPr>
                <w:rFonts w:cs="Arial"/>
                <w:sz w:val="22"/>
                <w:szCs w:val="22"/>
              </w:rPr>
              <w:t>30%</w:t>
            </w:r>
          </w:p>
        </w:tc>
      </w:tr>
      <w:tr w:rsidR="003012F5" w:rsidRPr="003E5C8F" w14:paraId="6B02E274" w14:textId="77777777" w:rsidTr="00B32E51">
        <w:trPr>
          <w:trHeight w:val="210"/>
          <w:jc w:val="center"/>
        </w:trPr>
        <w:tc>
          <w:tcPr>
            <w:tcW w:w="1305" w:type="dxa"/>
          </w:tcPr>
          <w:p w14:paraId="002D78F3" w14:textId="77777777" w:rsidR="003012F5" w:rsidRPr="003E5C8F" w:rsidRDefault="003012F5" w:rsidP="00D80729">
            <w:pPr>
              <w:rPr>
                <w:b/>
                <w:sz w:val="22"/>
                <w:szCs w:val="22"/>
              </w:rPr>
            </w:pPr>
            <w:r w:rsidRPr="003E5C8F">
              <w:rPr>
                <w:b/>
                <w:sz w:val="22"/>
                <w:szCs w:val="22"/>
              </w:rPr>
              <w:t>Cambodia</w:t>
            </w:r>
          </w:p>
        </w:tc>
        <w:tc>
          <w:tcPr>
            <w:tcW w:w="2298" w:type="dxa"/>
            <w:vAlign w:val="bottom"/>
          </w:tcPr>
          <w:p w14:paraId="6B85ADF5" w14:textId="77777777" w:rsidR="003012F5" w:rsidRPr="003E5C8F" w:rsidRDefault="003012F5" w:rsidP="00D80729">
            <w:pPr>
              <w:jc w:val="center"/>
              <w:rPr>
                <w:rFonts w:cs="Arial"/>
                <w:b/>
                <w:sz w:val="22"/>
                <w:szCs w:val="22"/>
              </w:rPr>
            </w:pPr>
            <w:r w:rsidRPr="003E5C8F">
              <w:rPr>
                <w:rFonts w:cs="Arial"/>
                <w:b/>
                <w:sz w:val="22"/>
                <w:szCs w:val="22"/>
              </w:rPr>
              <w:t>25.8</w:t>
            </w:r>
          </w:p>
        </w:tc>
        <w:tc>
          <w:tcPr>
            <w:tcW w:w="2298" w:type="dxa"/>
          </w:tcPr>
          <w:p w14:paraId="026F8C3E" w14:textId="77777777" w:rsidR="003012F5" w:rsidRPr="003E5C8F" w:rsidRDefault="003012F5" w:rsidP="00D80729">
            <w:pPr>
              <w:jc w:val="center"/>
              <w:rPr>
                <w:rFonts w:cs="Arial"/>
                <w:b/>
                <w:sz w:val="22"/>
                <w:szCs w:val="22"/>
              </w:rPr>
            </w:pPr>
            <w:r>
              <w:rPr>
                <w:rFonts w:cs="Arial"/>
                <w:b/>
                <w:sz w:val="22"/>
                <w:szCs w:val="22"/>
              </w:rPr>
              <w:t>16%</w:t>
            </w:r>
          </w:p>
        </w:tc>
        <w:tc>
          <w:tcPr>
            <w:tcW w:w="2299" w:type="dxa"/>
          </w:tcPr>
          <w:p w14:paraId="0C63C82B" w14:textId="77777777" w:rsidR="003012F5" w:rsidRPr="003E5C8F" w:rsidRDefault="003012F5" w:rsidP="00D80729">
            <w:pPr>
              <w:jc w:val="center"/>
              <w:rPr>
                <w:rFonts w:cs="Arial"/>
                <w:b/>
                <w:sz w:val="22"/>
                <w:szCs w:val="22"/>
              </w:rPr>
            </w:pPr>
            <w:r>
              <w:rPr>
                <w:rFonts w:cs="Arial"/>
                <w:b/>
                <w:sz w:val="22"/>
                <w:szCs w:val="22"/>
              </w:rPr>
              <w:t>30%</w:t>
            </w:r>
          </w:p>
        </w:tc>
      </w:tr>
    </w:tbl>
    <w:p w14:paraId="19DBE4B9" w14:textId="3CBD9269" w:rsidR="00D80729" w:rsidRPr="00F24485" w:rsidRDefault="00B32E51" w:rsidP="00B32E51">
      <w:pPr>
        <w:rPr>
          <w:sz w:val="22"/>
          <w:szCs w:val="22"/>
        </w:rPr>
      </w:pPr>
      <w:r>
        <w:rPr>
          <w:sz w:val="22"/>
          <w:szCs w:val="22"/>
        </w:rPr>
        <w:t xml:space="preserve">     </w:t>
      </w:r>
      <w:r w:rsidR="00D80729" w:rsidRPr="00B32E51">
        <w:rPr>
          <w:sz w:val="18"/>
          <w:szCs w:val="22"/>
        </w:rPr>
        <w:t>(Source: CDHS 2005)</w:t>
      </w:r>
    </w:p>
    <w:p w14:paraId="68B65BE3" w14:textId="4A61F6A2" w:rsidR="00187879" w:rsidRDefault="00187879" w:rsidP="00F8491E">
      <w:pPr>
        <w:rPr>
          <w:sz w:val="22"/>
          <w:szCs w:val="22"/>
        </w:rPr>
      </w:pPr>
    </w:p>
    <w:p w14:paraId="6F5FA03E" w14:textId="2B3F770D" w:rsidR="00B32E51" w:rsidRDefault="00B32E51" w:rsidP="00F8491E">
      <w:pPr>
        <w:rPr>
          <w:sz w:val="22"/>
          <w:szCs w:val="22"/>
        </w:rPr>
      </w:pPr>
      <w:r>
        <w:rPr>
          <w:noProof/>
          <w:sz w:val="22"/>
          <w:szCs w:val="22"/>
        </w:rPr>
        <w:drawing>
          <wp:anchor distT="0" distB="0" distL="114300" distR="114300" simplePos="0" relativeHeight="251668480" behindDoc="1" locked="0" layoutInCell="1" allowOverlap="1" wp14:anchorId="1D6AABB7" wp14:editId="477F4AC5">
            <wp:simplePos x="0" y="0"/>
            <wp:positionH relativeFrom="column">
              <wp:posOffset>114300</wp:posOffset>
            </wp:positionH>
            <wp:positionV relativeFrom="paragraph">
              <wp:posOffset>34290</wp:posOffset>
            </wp:positionV>
            <wp:extent cx="5194300" cy="2861945"/>
            <wp:effectExtent l="25400" t="25400" r="38100" b="336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ambodian_Provinces_b.jpg"/>
                    <pic:cNvPicPr/>
                  </pic:nvPicPr>
                  <pic:blipFill>
                    <a:blip r:embed="rId15">
                      <a:extLst>
                        <a:ext uri="{28A0092B-C50C-407E-A947-70E740481C1C}">
                          <a14:useLocalDpi xmlns:a14="http://schemas.microsoft.com/office/drawing/2010/main" val="0"/>
                        </a:ext>
                      </a:extLst>
                    </a:blip>
                    <a:stretch>
                      <a:fillRect/>
                    </a:stretch>
                  </pic:blipFill>
                  <pic:spPr>
                    <a:xfrm>
                      <a:off x="0" y="0"/>
                      <a:ext cx="5194300" cy="2861945"/>
                    </a:xfrm>
                    <a:prstGeom prst="rect">
                      <a:avLst/>
                    </a:prstGeom>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934E2E" w14:textId="0213C28F" w:rsidR="00B32E51" w:rsidRDefault="00B32E51" w:rsidP="00F8491E">
      <w:pPr>
        <w:rPr>
          <w:sz w:val="22"/>
          <w:szCs w:val="22"/>
        </w:rPr>
      </w:pPr>
    </w:p>
    <w:p w14:paraId="282B04AB" w14:textId="77777777" w:rsidR="00B32E51" w:rsidRDefault="00B32E51" w:rsidP="00F8491E">
      <w:pPr>
        <w:rPr>
          <w:sz w:val="22"/>
          <w:szCs w:val="22"/>
        </w:rPr>
      </w:pPr>
    </w:p>
    <w:p w14:paraId="155ED251" w14:textId="77777777" w:rsidR="00B32E51" w:rsidRDefault="00B32E51" w:rsidP="00F8491E">
      <w:pPr>
        <w:rPr>
          <w:sz w:val="22"/>
          <w:szCs w:val="22"/>
        </w:rPr>
      </w:pPr>
    </w:p>
    <w:p w14:paraId="5ED44B97" w14:textId="77777777" w:rsidR="00B32E51" w:rsidRDefault="00B32E51" w:rsidP="00F8491E">
      <w:pPr>
        <w:rPr>
          <w:sz w:val="22"/>
          <w:szCs w:val="22"/>
        </w:rPr>
      </w:pPr>
    </w:p>
    <w:p w14:paraId="1164BC52" w14:textId="77777777" w:rsidR="00B32E51" w:rsidRDefault="00B32E51" w:rsidP="00F8491E">
      <w:pPr>
        <w:rPr>
          <w:sz w:val="22"/>
          <w:szCs w:val="22"/>
        </w:rPr>
      </w:pPr>
    </w:p>
    <w:p w14:paraId="60994ECF" w14:textId="77777777" w:rsidR="00B32E51" w:rsidRDefault="00B32E51" w:rsidP="00F8491E">
      <w:pPr>
        <w:rPr>
          <w:sz w:val="22"/>
          <w:szCs w:val="22"/>
        </w:rPr>
      </w:pPr>
    </w:p>
    <w:p w14:paraId="74713DCD" w14:textId="77777777" w:rsidR="00B32E51" w:rsidRDefault="00B32E51" w:rsidP="00F8491E">
      <w:pPr>
        <w:rPr>
          <w:sz w:val="22"/>
          <w:szCs w:val="22"/>
        </w:rPr>
      </w:pPr>
    </w:p>
    <w:p w14:paraId="375CE32D" w14:textId="77777777" w:rsidR="00B32E51" w:rsidRDefault="00B32E51" w:rsidP="00F8491E">
      <w:pPr>
        <w:rPr>
          <w:sz w:val="22"/>
          <w:szCs w:val="22"/>
        </w:rPr>
      </w:pPr>
    </w:p>
    <w:p w14:paraId="0183F903" w14:textId="77777777" w:rsidR="00B32E51" w:rsidRDefault="00B32E51" w:rsidP="00F8491E">
      <w:pPr>
        <w:rPr>
          <w:sz w:val="22"/>
          <w:szCs w:val="22"/>
        </w:rPr>
      </w:pPr>
    </w:p>
    <w:p w14:paraId="3EF49C64" w14:textId="77777777" w:rsidR="00B32E51" w:rsidRDefault="00B32E51" w:rsidP="00F8491E">
      <w:pPr>
        <w:rPr>
          <w:sz w:val="22"/>
          <w:szCs w:val="22"/>
        </w:rPr>
      </w:pPr>
    </w:p>
    <w:p w14:paraId="492079ED" w14:textId="77777777" w:rsidR="00B32E51" w:rsidRDefault="00B32E51" w:rsidP="00F8491E">
      <w:pPr>
        <w:rPr>
          <w:sz w:val="22"/>
          <w:szCs w:val="22"/>
        </w:rPr>
      </w:pPr>
    </w:p>
    <w:p w14:paraId="7DF256FB" w14:textId="77777777" w:rsidR="00B32E51" w:rsidRDefault="00B32E51" w:rsidP="00F8491E">
      <w:pPr>
        <w:rPr>
          <w:sz w:val="22"/>
          <w:szCs w:val="22"/>
        </w:rPr>
      </w:pPr>
    </w:p>
    <w:p w14:paraId="54FFCBE0" w14:textId="77777777" w:rsidR="00B32E51" w:rsidRDefault="00B32E51" w:rsidP="00F8491E">
      <w:pPr>
        <w:rPr>
          <w:sz w:val="22"/>
          <w:szCs w:val="22"/>
        </w:rPr>
      </w:pPr>
    </w:p>
    <w:p w14:paraId="743D3167" w14:textId="77777777" w:rsidR="00B32E51" w:rsidRDefault="00B32E51" w:rsidP="00F8491E">
      <w:pPr>
        <w:rPr>
          <w:sz w:val="22"/>
          <w:szCs w:val="22"/>
        </w:rPr>
      </w:pPr>
    </w:p>
    <w:p w14:paraId="6A9D453C" w14:textId="77777777" w:rsidR="00B32E51" w:rsidRDefault="00B32E51" w:rsidP="00F8491E">
      <w:pPr>
        <w:rPr>
          <w:sz w:val="22"/>
          <w:szCs w:val="22"/>
        </w:rPr>
      </w:pPr>
    </w:p>
    <w:p w14:paraId="2E7602B6" w14:textId="77777777" w:rsidR="00B32E51" w:rsidRDefault="00B32E51" w:rsidP="00F8491E">
      <w:pPr>
        <w:rPr>
          <w:sz w:val="22"/>
          <w:szCs w:val="22"/>
        </w:rPr>
      </w:pPr>
    </w:p>
    <w:p w14:paraId="5AD33FF2" w14:textId="77777777" w:rsidR="00B32E51" w:rsidRDefault="00B32E51" w:rsidP="00F8491E">
      <w:pPr>
        <w:rPr>
          <w:sz w:val="22"/>
          <w:szCs w:val="22"/>
        </w:rPr>
      </w:pPr>
    </w:p>
    <w:p w14:paraId="75490086" w14:textId="77777777" w:rsidR="00B32E51" w:rsidRDefault="00B32E51" w:rsidP="00F8491E">
      <w:pPr>
        <w:rPr>
          <w:sz w:val="22"/>
          <w:szCs w:val="22"/>
        </w:rPr>
      </w:pPr>
    </w:p>
    <w:p w14:paraId="7D93D58B" w14:textId="2B743926" w:rsidR="000A1F27" w:rsidRDefault="00F8491E" w:rsidP="00B32E51">
      <w:pPr>
        <w:ind w:firstLine="360"/>
        <w:rPr>
          <w:sz w:val="22"/>
          <w:szCs w:val="22"/>
        </w:rPr>
      </w:pPr>
      <w:r w:rsidRPr="003E5C8F">
        <w:rPr>
          <w:sz w:val="22"/>
          <w:szCs w:val="22"/>
        </w:rPr>
        <w:t>Thus</w:t>
      </w:r>
      <w:r w:rsidR="007E2197" w:rsidRPr="003E5C8F">
        <w:rPr>
          <w:sz w:val="22"/>
          <w:szCs w:val="22"/>
        </w:rPr>
        <w:t xml:space="preserve">, to effectively address both conditions, EMW’s approach starts with </w:t>
      </w:r>
      <w:r w:rsidRPr="003E5C8F">
        <w:rPr>
          <w:sz w:val="22"/>
          <w:szCs w:val="22"/>
        </w:rPr>
        <w:t xml:space="preserve">authenticating end-user’s preferences </w:t>
      </w:r>
      <w:r w:rsidR="007E2197" w:rsidRPr="003E5C8F">
        <w:rPr>
          <w:sz w:val="22"/>
          <w:szCs w:val="22"/>
        </w:rPr>
        <w:t xml:space="preserve">to critically establish </w:t>
      </w:r>
      <w:r w:rsidR="00D80729">
        <w:rPr>
          <w:sz w:val="22"/>
          <w:szCs w:val="22"/>
        </w:rPr>
        <w:t>an effective</w:t>
      </w:r>
      <w:r w:rsidRPr="003E5C8F">
        <w:rPr>
          <w:sz w:val="22"/>
          <w:szCs w:val="22"/>
        </w:rPr>
        <w:t xml:space="preserve"> sanitation and HBC campaign.</w:t>
      </w:r>
      <w:r w:rsidR="009967B2" w:rsidRPr="003E5C8F">
        <w:rPr>
          <w:sz w:val="22"/>
          <w:szCs w:val="22"/>
        </w:rPr>
        <w:t xml:space="preserve"> To this end, EMW and its partners are targeting ID-1 and ID-2 level groups based on the </w:t>
      </w:r>
      <w:proofErr w:type="spellStart"/>
      <w:r w:rsidR="009967B2" w:rsidRPr="003E5C8F">
        <w:rPr>
          <w:sz w:val="22"/>
          <w:szCs w:val="22"/>
        </w:rPr>
        <w:t>IDPoor</w:t>
      </w:r>
      <w:proofErr w:type="spellEnd"/>
      <w:r w:rsidR="009967B2" w:rsidRPr="003E5C8F">
        <w:rPr>
          <w:sz w:val="22"/>
          <w:szCs w:val="22"/>
        </w:rPr>
        <w:t xml:space="preserve"> data established by Ministry of Planning because these groups tend to be the most vulnerable in C</w:t>
      </w:r>
      <w:r w:rsidR="00D80729">
        <w:rPr>
          <w:sz w:val="22"/>
          <w:szCs w:val="22"/>
        </w:rPr>
        <w:t>ommunity Led Total Sanitation (C</w:t>
      </w:r>
      <w:r w:rsidR="009967B2" w:rsidRPr="003E5C8F">
        <w:rPr>
          <w:sz w:val="22"/>
          <w:szCs w:val="22"/>
        </w:rPr>
        <w:t>LTS</w:t>
      </w:r>
      <w:r w:rsidR="00D80729">
        <w:rPr>
          <w:sz w:val="22"/>
          <w:szCs w:val="22"/>
        </w:rPr>
        <w:t>)</w:t>
      </w:r>
      <w:r w:rsidR="009967B2" w:rsidRPr="003E5C8F">
        <w:rPr>
          <w:sz w:val="22"/>
          <w:szCs w:val="22"/>
        </w:rPr>
        <w:t xml:space="preserve"> and sanitation marketing </w:t>
      </w:r>
      <w:r w:rsidR="00546E84">
        <w:rPr>
          <w:sz w:val="22"/>
          <w:szCs w:val="22"/>
        </w:rPr>
        <w:t>models</w:t>
      </w:r>
      <w:r w:rsidR="009967B2" w:rsidRPr="003E5C8F">
        <w:rPr>
          <w:sz w:val="22"/>
          <w:szCs w:val="22"/>
        </w:rPr>
        <w:t xml:space="preserve">, which </w:t>
      </w:r>
      <w:r w:rsidR="00215C87">
        <w:rPr>
          <w:sz w:val="22"/>
          <w:szCs w:val="22"/>
        </w:rPr>
        <w:t>at the same</w:t>
      </w:r>
      <w:r w:rsidR="009967B2" w:rsidRPr="003E5C8F">
        <w:rPr>
          <w:sz w:val="22"/>
          <w:szCs w:val="22"/>
        </w:rPr>
        <w:t xml:space="preserve"> </w:t>
      </w:r>
      <w:r w:rsidR="000A1F27">
        <w:rPr>
          <w:sz w:val="22"/>
          <w:szCs w:val="22"/>
        </w:rPr>
        <w:t xml:space="preserve">time, </w:t>
      </w:r>
      <w:r w:rsidR="009967B2" w:rsidRPr="003E5C8F">
        <w:rPr>
          <w:sz w:val="22"/>
          <w:szCs w:val="22"/>
        </w:rPr>
        <w:t xml:space="preserve">happens to be a key strength of EMW’s OBA approach to develop innovative financing and program service delivery.  By selectively targeting ID-1 and ID-2 groups, EMW envisages to combine the strengths of its partners in Oxfam America and </w:t>
      </w:r>
      <w:proofErr w:type="spellStart"/>
      <w:r w:rsidR="009967B2" w:rsidRPr="003E5C8F">
        <w:rPr>
          <w:sz w:val="22"/>
          <w:szCs w:val="22"/>
        </w:rPr>
        <w:t>WaterSHED</w:t>
      </w:r>
      <w:proofErr w:type="spellEnd"/>
      <w:r w:rsidR="009967B2" w:rsidRPr="003E5C8F">
        <w:rPr>
          <w:sz w:val="22"/>
          <w:szCs w:val="22"/>
        </w:rPr>
        <w:t>-Cambodia to:</w:t>
      </w:r>
    </w:p>
    <w:p w14:paraId="1DAE2491" w14:textId="77777777" w:rsidR="00B32E51" w:rsidRPr="003E5C8F" w:rsidRDefault="00B32E51" w:rsidP="00F8491E">
      <w:pPr>
        <w:rPr>
          <w:sz w:val="22"/>
          <w:szCs w:val="22"/>
        </w:rPr>
      </w:pPr>
    </w:p>
    <w:p w14:paraId="24C11FD4" w14:textId="61BFFE09" w:rsidR="000A1F27" w:rsidRDefault="00C378BA" w:rsidP="00A90E11">
      <w:pPr>
        <w:pStyle w:val="ListParagraph"/>
        <w:numPr>
          <w:ilvl w:val="0"/>
          <w:numId w:val="3"/>
        </w:numPr>
        <w:rPr>
          <w:sz w:val="22"/>
          <w:szCs w:val="22"/>
        </w:rPr>
      </w:pPr>
      <w:r>
        <w:rPr>
          <w:sz w:val="22"/>
          <w:szCs w:val="22"/>
        </w:rPr>
        <w:t xml:space="preserve">Conduct two (2) </w:t>
      </w:r>
      <w:r w:rsidR="000A1F27">
        <w:rPr>
          <w:sz w:val="22"/>
          <w:szCs w:val="22"/>
        </w:rPr>
        <w:t>field stud</w:t>
      </w:r>
      <w:r>
        <w:rPr>
          <w:sz w:val="22"/>
          <w:szCs w:val="22"/>
        </w:rPr>
        <w:t>y trips</w:t>
      </w:r>
      <w:r w:rsidR="000A1F27">
        <w:rPr>
          <w:sz w:val="22"/>
          <w:szCs w:val="22"/>
        </w:rPr>
        <w:t xml:space="preserve">, one in Vietnam for Oxfam America and </w:t>
      </w:r>
      <w:proofErr w:type="spellStart"/>
      <w:r w:rsidR="000A1F27">
        <w:rPr>
          <w:sz w:val="22"/>
          <w:szCs w:val="22"/>
        </w:rPr>
        <w:t>WaterSHED</w:t>
      </w:r>
      <w:proofErr w:type="spellEnd"/>
      <w:r w:rsidR="000A1F27">
        <w:rPr>
          <w:sz w:val="22"/>
          <w:szCs w:val="22"/>
        </w:rPr>
        <w:t>-Cambodia to study EMW’s sanitation model in the Mekong Delta region and the other in each of the three targeted provinces in Cambodia to determine the pilot model for sanitation work in Cambodia.</w:t>
      </w:r>
    </w:p>
    <w:p w14:paraId="33CF22E3" w14:textId="2C51922C" w:rsidR="00DD1955" w:rsidRDefault="00C378BA" w:rsidP="00A90E11">
      <w:pPr>
        <w:pStyle w:val="ListParagraph"/>
        <w:numPr>
          <w:ilvl w:val="0"/>
          <w:numId w:val="3"/>
        </w:numPr>
        <w:rPr>
          <w:sz w:val="22"/>
          <w:szCs w:val="22"/>
        </w:rPr>
      </w:pPr>
      <w:r>
        <w:rPr>
          <w:sz w:val="22"/>
          <w:szCs w:val="22"/>
        </w:rPr>
        <w:t>Establish a Community Wealth Fund, which is used in conjunction with Saving for Change micro-financing model to either p</w:t>
      </w:r>
      <w:r w:rsidR="00DD1955">
        <w:rPr>
          <w:sz w:val="22"/>
          <w:szCs w:val="22"/>
        </w:rPr>
        <w:t>rovide rebates (about $2</w:t>
      </w:r>
      <w:r w:rsidR="000A1F27">
        <w:rPr>
          <w:sz w:val="22"/>
          <w:szCs w:val="22"/>
        </w:rPr>
        <w:t>0</w:t>
      </w:r>
      <w:r w:rsidR="00DD1955">
        <w:rPr>
          <w:sz w:val="22"/>
          <w:szCs w:val="22"/>
        </w:rPr>
        <w:t xml:space="preserve"> USD) for hardware costs to only ID-1 or ID-2 Poor groups</w:t>
      </w:r>
      <w:r>
        <w:rPr>
          <w:sz w:val="22"/>
          <w:szCs w:val="22"/>
        </w:rPr>
        <w:t xml:space="preserve"> and/or expand </w:t>
      </w:r>
      <w:r w:rsidRPr="003E5C8F">
        <w:rPr>
          <w:sz w:val="22"/>
          <w:szCs w:val="22"/>
        </w:rPr>
        <w:t>micro-financing into new target districts to increase the reach and scale of the project</w:t>
      </w:r>
      <w:r w:rsidR="00DD1955">
        <w:rPr>
          <w:sz w:val="22"/>
          <w:szCs w:val="22"/>
        </w:rPr>
        <w:t xml:space="preserve">. </w:t>
      </w:r>
    </w:p>
    <w:p w14:paraId="31B3E9DD" w14:textId="6760A3BA" w:rsidR="00B401EB" w:rsidRPr="003E5C8F" w:rsidRDefault="007E2197" w:rsidP="00A90E11">
      <w:pPr>
        <w:pStyle w:val="ListParagraph"/>
        <w:numPr>
          <w:ilvl w:val="0"/>
          <w:numId w:val="3"/>
        </w:numPr>
        <w:rPr>
          <w:sz w:val="22"/>
          <w:szCs w:val="22"/>
        </w:rPr>
      </w:pPr>
      <w:r w:rsidRPr="003E5C8F">
        <w:rPr>
          <w:sz w:val="22"/>
          <w:szCs w:val="22"/>
        </w:rPr>
        <w:t>Educate and build capacity of animator</w:t>
      </w:r>
      <w:r w:rsidR="00546E84">
        <w:rPr>
          <w:sz w:val="22"/>
          <w:szCs w:val="22"/>
        </w:rPr>
        <w:t>s</w:t>
      </w:r>
      <w:r w:rsidRPr="003E5C8F">
        <w:rPr>
          <w:sz w:val="22"/>
          <w:szCs w:val="22"/>
        </w:rPr>
        <w:t xml:space="preserve"> within Saving for Change groups in sanitation and HBC to establish </w:t>
      </w:r>
      <w:r w:rsidR="00A90E11" w:rsidRPr="003E5C8F">
        <w:rPr>
          <w:sz w:val="22"/>
          <w:szCs w:val="22"/>
        </w:rPr>
        <w:t xml:space="preserve">community-led awareness and </w:t>
      </w:r>
      <w:r w:rsidR="009B4409" w:rsidRPr="003E5C8F">
        <w:rPr>
          <w:sz w:val="22"/>
          <w:szCs w:val="22"/>
        </w:rPr>
        <w:t xml:space="preserve">stimulate </w:t>
      </w:r>
      <w:r w:rsidR="00A90E11" w:rsidRPr="003E5C8F">
        <w:rPr>
          <w:sz w:val="22"/>
          <w:szCs w:val="22"/>
        </w:rPr>
        <w:t>demand for sanitation products.</w:t>
      </w:r>
    </w:p>
    <w:p w14:paraId="5E1FA391" w14:textId="77777777" w:rsidR="007E2197" w:rsidRPr="003E5C8F" w:rsidRDefault="007E2197" w:rsidP="0099139D">
      <w:pPr>
        <w:pStyle w:val="ListParagraph"/>
        <w:numPr>
          <w:ilvl w:val="0"/>
          <w:numId w:val="3"/>
        </w:numPr>
        <w:rPr>
          <w:sz w:val="22"/>
          <w:szCs w:val="22"/>
        </w:rPr>
      </w:pPr>
      <w:r w:rsidRPr="003E5C8F">
        <w:rPr>
          <w:sz w:val="22"/>
          <w:szCs w:val="22"/>
        </w:rPr>
        <w:t xml:space="preserve">Launch HBC </w:t>
      </w:r>
      <w:r w:rsidR="0099139D" w:rsidRPr="003E5C8F">
        <w:rPr>
          <w:sz w:val="22"/>
          <w:szCs w:val="22"/>
        </w:rPr>
        <w:t>c</w:t>
      </w:r>
      <w:r w:rsidRPr="003E5C8F">
        <w:rPr>
          <w:sz w:val="22"/>
          <w:szCs w:val="22"/>
        </w:rPr>
        <w:t xml:space="preserve">ampaign goal to establish </w:t>
      </w:r>
      <w:r w:rsidR="0099139D" w:rsidRPr="003E5C8F">
        <w:rPr>
          <w:sz w:val="22"/>
          <w:szCs w:val="22"/>
        </w:rPr>
        <w:t>Open Defecation Free (</w:t>
      </w:r>
      <w:r w:rsidRPr="003E5C8F">
        <w:rPr>
          <w:sz w:val="22"/>
          <w:szCs w:val="22"/>
        </w:rPr>
        <w:t>ODF</w:t>
      </w:r>
      <w:r w:rsidR="0099139D" w:rsidRPr="003E5C8F">
        <w:rPr>
          <w:sz w:val="22"/>
          <w:szCs w:val="22"/>
        </w:rPr>
        <w:t>)</w:t>
      </w:r>
      <w:r w:rsidRPr="003E5C8F">
        <w:rPr>
          <w:sz w:val="22"/>
          <w:szCs w:val="22"/>
        </w:rPr>
        <w:t xml:space="preserve"> zone with modules in hand washing with soap, consistent latrine usage, and drinking only safe water.</w:t>
      </w:r>
    </w:p>
    <w:p w14:paraId="7C8F3EBC" w14:textId="35E1A626" w:rsidR="009B4409" w:rsidRDefault="00A90E11" w:rsidP="009B4409">
      <w:pPr>
        <w:pStyle w:val="ListParagraph"/>
        <w:numPr>
          <w:ilvl w:val="0"/>
          <w:numId w:val="3"/>
        </w:numPr>
        <w:rPr>
          <w:sz w:val="22"/>
          <w:szCs w:val="22"/>
        </w:rPr>
      </w:pPr>
      <w:r w:rsidRPr="003E5C8F">
        <w:rPr>
          <w:sz w:val="22"/>
          <w:szCs w:val="22"/>
        </w:rPr>
        <w:t xml:space="preserve">Develop and implement promotional </w:t>
      </w:r>
      <w:r w:rsidR="0099139D" w:rsidRPr="003E5C8F">
        <w:rPr>
          <w:sz w:val="22"/>
          <w:szCs w:val="22"/>
        </w:rPr>
        <w:t xml:space="preserve">HBC campaigns </w:t>
      </w:r>
      <w:r w:rsidRPr="003E5C8F">
        <w:rPr>
          <w:sz w:val="22"/>
          <w:szCs w:val="22"/>
        </w:rPr>
        <w:t>on market-based research</w:t>
      </w:r>
      <w:r w:rsidR="0099139D" w:rsidRPr="003E5C8F">
        <w:rPr>
          <w:sz w:val="22"/>
          <w:szCs w:val="22"/>
        </w:rPr>
        <w:t>.</w:t>
      </w:r>
    </w:p>
    <w:p w14:paraId="2CAFC2DE" w14:textId="77777777" w:rsidR="00C378BA" w:rsidRPr="00C378BA" w:rsidRDefault="00C378BA" w:rsidP="00C378BA">
      <w:pPr>
        <w:pStyle w:val="ListParagraph"/>
        <w:rPr>
          <w:sz w:val="22"/>
          <w:szCs w:val="22"/>
        </w:rPr>
      </w:pPr>
    </w:p>
    <w:p w14:paraId="1E66AF81" w14:textId="77777777" w:rsidR="009B4409" w:rsidRDefault="009B4409" w:rsidP="009B4409">
      <w:pPr>
        <w:rPr>
          <w:i/>
          <w:sz w:val="22"/>
          <w:szCs w:val="22"/>
        </w:rPr>
      </w:pPr>
      <w:r w:rsidRPr="003E5C8F">
        <w:rPr>
          <w:i/>
          <w:sz w:val="22"/>
          <w:szCs w:val="22"/>
        </w:rPr>
        <w:t>Output</w:t>
      </w:r>
    </w:p>
    <w:p w14:paraId="2052191D" w14:textId="77777777" w:rsidR="00365AF4" w:rsidRPr="003E5C8F" w:rsidRDefault="00365AF4" w:rsidP="009B4409">
      <w:pPr>
        <w:rPr>
          <w:i/>
          <w:sz w:val="22"/>
          <w:szCs w:val="22"/>
        </w:rPr>
      </w:pPr>
    </w:p>
    <w:p w14:paraId="6467AF6B" w14:textId="2EBFE465" w:rsidR="000C1628" w:rsidRPr="003E5C8F" w:rsidRDefault="009B4409" w:rsidP="000C1628">
      <w:pPr>
        <w:pStyle w:val="ListParagraph"/>
        <w:numPr>
          <w:ilvl w:val="0"/>
          <w:numId w:val="3"/>
        </w:numPr>
        <w:rPr>
          <w:sz w:val="22"/>
          <w:szCs w:val="22"/>
        </w:rPr>
      </w:pPr>
      <w:r w:rsidRPr="003E5C8F">
        <w:rPr>
          <w:sz w:val="22"/>
          <w:szCs w:val="22"/>
        </w:rPr>
        <w:t xml:space="preserve">Construction and installation of </w:t>
      </w:r>
      <w:r w:rsidR="00546E84">
        <w:rPr>
          <w:sz w:val="22"/>
          <w:szCs w:val="22"/>
        </w:rPr>
        <w:t>3</w:t>
      </w:r>
      <w:r w:rsidRPr="003E5C8F">
        <w:rPr>
          <w:sz w:val="22"/>
          <w:szCs w:val="22"/>
        </w:rPr>
        <w:t>00 household sanitation facilities</w:t>
      </w:r>
    </w:p>
    <w:p w14:paraId="78C1879D" w14:textId="4E11AFAD" w:rsidR="00D0641E" w:rsidRPr="003E5C8F" w:rsidRDefault="00052AFF" w:rsidP="00B369B7">
      <w:pPr>
        <w:pStyle w:val="ListParagraph"/>
        <w:numPr>
          <w:ilvl w:val="0"/>
          <w:numId w:val="3"/>
        </w:numPr>
        <w:rPr>
          <w:sz w:val="22"/>
          <w:szCs w:val="22"/>
        </w:rPr>
      </w:pPr>
      <w:r w:rsidRPr="003E5C8F">
        <w:rPr>
          <w:sz w:val="22"/>
          <w:szCs w:val="22"/>
        </w:rPr>
        <w:t xml:space="preserve">HBC program delivery for </w:t>
      </w:r>
      <w:r w:rsidR="00546E84">
        <w:rPr>
          <w:sz w:val="22"/>
          <w:szCs w:val="22"/>
        </w:rPr>
        <w:t>3</w:t>
      </w:r>
      <w:r w:rsidR="009B4409" w:rsidRPr="003E5C8F">
        <w:rPr>
          <w:sz w:val="22"/>
          <w:szCs w:val="22"/>
        </w:rPr>
        <w:t xml:space="preserve">00 households in </w:t>
      </w:r>
      <w:r w:rsidR="00546E84">
        <w:rPr>
          <w:sz w:val="22"/>
          <w:szCs w:val="22"/>
        </w:rPr>
        <w:t>2</w:t>
      </w:r>
      <w:r w:rsidR="000C1628" w:rsidRPr="003E5C8F">
        <w:rPr>
          <w:sz w:val="22"/>
          <w:szCs w:val="22"/>
        </w:rPr>
        <w:t xml:space="preserve"> </w:t>
      </w:r>
      <w:r w:rsidR="009B4409" w:rsidRPr="003E5C8F">
        <w:rPr>
          <w:sz w:val="22"/>
          <w:szCs w:val="22"/>
        </w:rPr>
        <w:t xml:space="preserve">targeted rural districts </w:t>
      </w:r>
      <w:r w:rsidR="00546E84">
        <w:rPr>
          <w:sz w:val="22"/>
          <w:szCs w:val="22"/>
        </w:rPr>
        <w:t xml:space="preserve">in one </w:t>
      </w:r>
      <w:r w:rsidR="009B4409" w:rsidRPr="003E5C8F">
        <w:rPr>
          <w:sz w:val="22"/>
          <w:szCs w:val="22"/>
        </w:rPr>
        <w:t>of</w:t>
      </w:r>
      <w:r w:rsidR="00546E84">
        <w:rPr>
          <w:sz w:val="22"/>
          <w:szCs w:val="22"/>
        </w:rPr>
        <w:t xml:space="preserve"> three provinces including</w:t>
      </w:r>
      <w:r w:rsidR="009B4409" w:rsidRPr="003E5C8F">
        <w:rPr>
          <w:sz w:val="22"/>
          <w:szCs w:val="22"/>
        </w:rPr>
        <w:t xml:space="preserve"> </w:t>
      </w:r>
      <w:proofErr w:type="spellStart"/>
      <w:r w:rsidR="00546E84">
        <w:rPr>
          <w:sz w:val="22"/>
          <w:szCs w:val="22"/>
        </w:rPr>
        <w:t>Kandal</w:t>
      </w:r>
      <w:proofErr w:type="spellEnd"/>
      <w:r w:rsidR="00546E84">
        <w:rPr>
          <w:sz w:val="22"/>
          <w:szCs w:val="22"/>
        </w:rPr>
        <w:t xml:space="preserve">, </w:t>
      </w:r>
      <w:proofErr w:type="spellStart"/>
      <w:r w:rsidR="007A21B9" w:rsidRPr="003E5C8F">
        <w:rPr>
          <w:sz w:val="22"/>
          <w:szCs w:val="22"/>
        </w:rPr>
        <w:t>Savay</w:t>
      </w:r>
      <w:proofErr w:type="spellEnd"/>
      <w:r w:rsidR="007A21B9" w:rsidRPr="003E5C8F">
        <w:rPr>
          <w:sz w:val="22"/>
          <w:szCs w:val="22"/>
        </w:rPr>
        <w:t xml:space="preserve"> </w:t>
      </w:r>
      <w:proofErr w:type="spellStart"/>
      <w:r w:rsidR="007A21B9" w:rsidRPr="003E5C8F">
        <w:rPr>
          <w:sz w:val="22"/>
          <w:szCs w:val="22"/>
        </w:rPr>
        <w:t>Rieng</w:t>
      </w:r>
      <w:proofErr w:type="spellEnd"/>
      <w:r w:rsidR="00546E84">
        <w:rPr>
          <w:sz w:val="22"/>
          <w:szCs w:val="22"/>
        </w:rPr>
        <w:t>, or Takeo</w:t>
      </w:r>
      <w:r w:rsidR="009B4409" w:rsidRPr="003E5C8F">
        <w:rPr>
          <w:sz w:val="22"/>
          <w:szCs w:val="22"/>
        </w:rPr>
        <w:t xml:space="preserve"> provinces.</w:t>
      </w:r>
    </w:p>
    <w:p w14:paraId="337C99E2" w14:textId="77777777" w:rsidR="00A04133" w:rsidRPr="003E5C8F" w:rsidRDefault="00A04133" w:rsidP="00A04133">
      <w:pPr>
        <w:pStyle w:val="ListParagraph"/>
        <w:rPr>
          <w:sz w:val="22"/>
          <w:szCs w:val="22"/>
        </w:rPr>
      </w:pPr>
    </w:p>
    <w:p w14:paraId="4E2832B7" w14:textId="62889735" w:rsidR="005B42F6" w:rsidRPr="003E5C8F" w:rsidRDefault="00365AF4" w:rsidP="00365AF4">
      <w:pPr>
        <w:pStyle w:val="Heading2"/>
      </w:pPr>
      <w:bookmarkStart w:id="2" w:name="_Toc172030745"/>
      <w:r>
        <w:t>2</w:t>
      </w:r>
      <w:r w:rsidR="005B42F6" w:rsidRPr="003E5C8F">
        <w:t>.</w:t>
      </w:r>
      <w:r w:rsidR="005B42F6" w:rsidRPr="003E5C8F">
        <w:tab/>
        <w:t>Organi</w:t>
      </w:r>
      <w:r w:rsidR="00D0641E" w:rsidRPr="003E5C8F">
        <w:t>z</w:t>
      </w:r>
      <w:r w:rsidR="005B42F6" w:rsidRPr="003E5C8F">
        <w:t>ational Capacity</w:t>
      </w:r>
      <w:r w:rsidR="0094302D">
        <w:t xml:space="preserve"> and Approach</w:t>
      </w:r>
      <w:bookmarkEnd w:id="2"/>
    </w:p>
    <w:p w14:paraId="772E787C" w14:textId="77777777" w:rsidR="005B42F6" w:rsidRPr="003E5C8F" w:rsidRDefault="005B42F6"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4CD11D5D" w14:textId="0D03045A" w:rsidR="005B42F6" w:rsidRPr="00365AF4" w:rsidRDefault="005B42F6" w:rsidP="00365AF4">
      <w:pPr>
        <w:rPr>
          <w:i/>
          <w:sz w:val="22"/>
        </w:rPr>
      </w:pPr>
      <w:r w:rsidRPr="00365AF4">
        <w:rPr>
          <w:i/>
          <w:sz w:val="22"/>
        </w:rPr>
        <w:t xml:space="preserve">Capability and </w:t>
      </w:r>
      <w:r w:rsidR="00365AF4" w:rsidRPr="00365AF4">
        <w:rPr>
          <w:i/>
          <w:sz w:val="22"/>
        </w:rPr>
        <w:t>E</w:t>
      </w:r>
      <w:r w:rsidRPr="00365AF4">
        <w:rPr>
          <w:i/>
          <w:sz w:val="22"/>
        </w:rPr>
        <w:t xml:space="preserve">xperience in </w:t>
      </w:r>
      <w:r w:rsidR="00365AF4" w:rsidRPr="00365AF4">
        <w:rPr>
          <w:i/>
          <w:sz w:val="22"/>
        </w:rPr>
        <w:t>I</w:t>
      </w:r>
      <w:r w:rsidRPr="00365AF4">
        <w:rPr>
          <w:i/>
          <w:sz w:val="22"/>
        </w:rPr>
        <w:t xml:space="preserve">mplementing </w:t>
      </w:r>
      <w:r w:rsidR="00365AF4" w:rsidRPr="00365AF4">
        <w:rPr>
          <w:i/>
          <w:sz w:val="22"/>
        </w:rPr>
        <w:t>S</w:t>
      </w:r>
      <w:r w:rsidRPr="00365AF4">
        <w:rPr>
          <w:i/>
          <w:sz w:val="22"/>
        </w:rPr>
        <w:t xml:space="preserve">anitation and </w:t>
      </w:r>
      <w:r w:rsidR="00365AF4" w:rsidRPr="00365AF4">
        <w:rPr>
          <w:i/>
          <w:sz w:val="22"/>
        </w:rPr>
        <w:t>H</w:t>
      </w:r>
      <w:r w:rsidRPr="00365AF4">
        <w:rPr>
          <w:i/>
          <w:sz w:val="22"/>
        </w:rPr>
        <w:t xml:space="preserve">ygiene </w:t>
      </w:r>
      <w:r w:rsidR="00365AF4" w:rsidRPr="00365AF4">
        <w:rPr>
          <w:i/>
          <w:sz w:val="22"/>
        </w:rPr>
        <w:t>P</w:t>
      </w:r>
      <w:r w:rsidRPr="00365AF4">
        <w:rPr>
          <w:i/>
          <w:sz w:val="22"/>
        </w:rPr>
        <w:t>rojects</w:t>
      </w:r>
    </w:p>
    <w:p w14:paraId="7466A197" w14:textId="77777777" w:rsidR="00365AF4" w:rsidRDefault="00365AF4" w:rsidP="00365AF4">
      <w:pPr>
        <w:ind w:firstLine="720"/>
        <w:rPr>
          <w:sz w:val="22"/>
          <w:szCs w:val="22"/>
        </w:rPr>
      </w:pPr>
    </w:p>
    <w:p w14:paraId="44EC832D" w14:textId="77777777" w:rsidR="004F6FD0" w:rsidRPr="003E5C8F" w:rsidRDefault="004F6FD0" w:rsidP="00365AF4">
      <w:pPr>
        <w:ind w:firstLine="720"/>
        <w:rPr>
          <w:sz w:val="22"/>
          <w:szCs w:val="22"/>
        </w:rPr>
      </w:pPr>
      <w:r w:rsidRPr="003E5C8F">
        <w:rPr>
          <w:sz w:val="22"/>
          <w:szCs w:val="22"/>
        </w:rPr>
        <w:t xml:space="preserve">EMW </w:t>
      </w:r>
      <w:r w:rsidR="00A4533C" w:rsidRPr="003E5C8F">
        <w:rPr>
          <w:sz w:val="22"/>
          <w:szCs w:val="22"/>
        </w:rPr>
        <w:t xml:space="preserve">and its partners, Oxfam America and </w:t>
      </w:r>
      <w:proofErr w:type="spellStart"/>
      <w:r w:rsidR="00A4533C" w:rsidRPr="003E5C8F">
        <w:rPr>
          <w:sz w:val="22"/>
          <w:szCs w:val="22"/>
        </w:rPr>
        <w:t>WaterSHED</w:t>
      </w:r>
      <w:proofErr w:type="spellEnd"/>
      <w:r w:rsidR="00A4533C" w:rsidRPr="003E5C8F">
        <w:rPr>
          <w:sz w:val="22"/>
          <w:szCs w:val="22"/>
        </w:rPr>
        <w:t xml:space="preserve">-Cambodia, have tremendously rich amounts of experiences in rural and community development, especially in sanitation and Southeast Asia. </w:t>
      </w:r>
    </w:p>
    <w:p w14:paraId="40711CC1" w14:textId="77777777" w:rsidR="00A4533C" w:rsidRPr="003E5C8F" w:rsidRDefault="00A4533C" w:rsidP="004F6FD0">
      <w:pPr>
        <w:rPr>
          <w:sz w:val="22"/>
          <w:szCs w:val="22"/>
        </w:rPr>
      </w:pPr>
    </w:p>
    <w:p w14:paraId="4E68F5EC" w14:textId="77777777" w:rsidR="00A4533C" w:rsidRPr="003E5C8F" w:rsidRDefault="00A4533C" w:rsidP="00B32E51">
      <w:pPr>
        <w:ind w:firstLine="720"/>
        <w:rPr>
          <w:sz w:val="22"/>
          <w:szCs w:val="22"/>
        </w:rPr>
      </w:pPr>
      <w:r w:rsidRPr="003E5C8F">
        <w:rPr>
          <w:sz w:val="22"/>
          <w:szCs w:val="22"/>
        </w:rPr>
        <w:t>EMW has been leading clean water and sanitation efforts in Vietnam for decades</w:t>
      </w:r>
      <w:r w:rsidR="009967B2" w:rsidRPr="003E5C8F">
        <w:rPr>
          <w:sz w:val="22"/>
          <w:szCs w:val="22"/>
        </w:rPr>
        <w:t xml:space="preserve"> and hopes to bring OBA innovation to Cambodia along with its partners</w:t>
      </w:r>
      <w:r w:rsidRPr="003E5C8F">
        <w:rPr>
          <w:sz w:val="22"/>
          <w:szCs w:val="22"/>
        </w:rPr>
        <w:t xml:space="preserve">.  Recently through major funding from </w:t>
      </w:r>
      <w:proofErr w:type="spellStart"/>
      <w:r w:rsidR="000245D9" w:rsidRPr="003E5C8F">
        <w:rPr>
          <w:sz w:val="22"/>
          <w:szCs w:val="22"/>
        </w:rPr>
        <w:t>AusAID</w:t>
      </w:r>
      <w:proofErr w:type="spellEnd"/>
      <w:r w:rsidR="000245D9" w:rsidRPr="003E5C8F">
        <w:rPr>
          <w:sz w:val="22"/>
          <w:szCs w:val="22"/>
        </w:rPr>
        <w:t xml:space="preserve"> and </w:t>
      </w:r>
      <w:r w:rsidRPr="003E5C8F">
        <w:rPr>
          <w:sz w:val="22"/>
          <w:szCs w:val="22"/>
        </w:rPr>
        <w:t xml:space="preserve">World Bank, EMW has </w:t>
      </w:r>
      <w:r w:rsidR="000245D9" w:rsidRPr="003E5C8F">
        <w:rPr>
          <w:sz w:val="22"/>
          <w:szCs w:val="22"/>
        </w:rPr>
        <w:t>enabled</w:t>
      </w:r>
      <w:r w:rsidRPr="003E5C8F">
        <w:rPr>
          <w:sz w:val="22"/>
          <w:szCs w:val="22"/>
        </w:rPr>
        <w:t xml:space="preserve"> over </w:t>
      </w:r>
      <w:r w:rsidR="00676F74" w:rsidRPr="003E5C8F">
        <w:rPr>
          <w:sz w:val="22"/>
          <w:szCs w:val="22"/>
        </w:rPr>
        <w:t xml:space="preserve">30,000 </w:t>
      </w:r>
      <w:r w:rsidR="000245D9" w:rsidRPr="003E5C8F">
        <w:rPr>
          <w:sz w:val="22"/>
          <w:szCs w:val="22"/>
        </w:rPr>
        <w:t xml:space="preserve">households access to clean water as well as </w:t>
      </w:r>
      <w:r w:rsidR="00676F74" w:rsidRPr="003E5C8F">
        <w:rPr>
          <w:sz w:val="22"/>
          <w:szCs w:val="22"/>
        </w:rPr>
        <w:t xml:space="preserve">10,000 household </w:t>
      </w:r>
      <w:r w:rsidR="000245D9" w:rsidRPr="003E5C8F">
        <w:rPr>
          <w:sz w:val="22"/>
          <w:szCs w:val="22"/>
        </w:rPr>
        <w:t>sanitation facilities and further expects to scale-up to 100,000 more households by 2015.</w:t>
      </w:r>
    </w:p>
    <w:p w14:paraId="2BAF4876" w14:textId="77777777" w:rsidR="00EB415A" w:rsidRPr="003E5C8F" w:rsidRDefault="00EB415A" w:rsidP="004F6FD0">
      <w:pPr>
        <w:rPr>
          <w:sz w:val="22"/>
          <w:szCs w:val="22"/>
        </w:rPr>
      </w:pPr>
    </w:p>
    <w:p w14:paraId="7E7B95A7" w14:textId="2496E809" w:rsidR="004F6FD0" w:rsidRPr="003E5C8F" w:rsidRDefault="00EB415A" w:rsidP="00B32E51">
      <w:pPr>
        <w:ind w:firstLine="720"/>
        <w:rPr>
          <w:sz w:val="22"/>
          <w:szCs w:val="22"/>
        </w:rPr>
      </w:pPr>
      <w:r w:rsidRPr="003E5C8F">
        <w:rPr>
          <w:sz w:val="22"/>
          <w:szCs w:val="22"/>
        </w:rPr>
        <w:t xml:space="preserve">In the Mekong Delta Region, EMW partnered with the Vietnam Women’s Union to reach nearly 20,000 residents and successfully built 4,200 </w:t>
      </w:r>
      <w:r w:rsidR="00E13A45" w:rsidRPr="003E5C8F">
        <w:rPr>
          <w:sz w:val="22"/>
          <w:szCs w:val="22"/>
        </w:rPr>
        <w:t xml:space="preserve">household </w:t>
      </w:r>
      <w:r w:rsidRPr="003E5C8F">
        <w:rPr>
          <w:sz w:val="22"/>
          <w:szCs w:val="22"/>
        </w:rPr>
        <w:t>sanitation facilities (surpassed original target set at 3,000 households)</w:t>
      </w:r>
      <w:r w:rsidR="00E13A45" w:rsidRPr="003E5C8F">
        <w:rPr>
          <w:sz w:val="22"/>
          <w:szCs w:val="22"/>
        </w:rPr>
        <w:t xml:space="preserve"> in three provinces</w:t>
      </w:r>
      <w:r w:rsidRPr="003E5C8F">
        <w:rPr>
          <w:sz w:val="22"/>
          <w:szCs w:val="22"/>
        </w:rPr>
        <w:t>.  The partnership launched an HBC campaign that targeted and engaged kindergarten teachers</w:t>
      </w:r>
      <w:r w:rsidR="00E13A45" w:rsidRPr="003E5C8F">
        <w:rPr>
          <w:sz w:val="22"/>
          <w:szCs w:val="22"/>
        </w:rPr>
        <w:t xml:space="preserve"> and students</w:t>
      </w:r>
      <w:r w:rsidRPr="003E5C8F">
        <w:rPr>
          <w:sz w:val="22"/>
          <w:szCs w:val="22"/>
        </w:rPr>
        <w:t xml:space="preserve">, local </w:t>
      </w:r>
      <w:r w:rsidR="00546E84">
        <w:rPr>
          <w:sz w:val="22"/>
          <w:szCs w:val="22"/>
        </w:rPr>
        <w:t>mason</w:t>
      </w:r>
      <w:r w:rsidRPr="003E5C8F">
        <w:rPr>
          <w:sz w:val="22"/>
          <w:szCs w:val="22"/>
        </w:rPr>
        <w:t>s</w:t>
      </w:r>
      <w:r w:rsidR="00E13A45" w:rsidRPr="003E5C8F">
        <w:rPr>
          <w:sz w:val="22"/>
          <w:szCs w:val="22"/>
        </w:rPr>
        <w:t xml:space="preserve"> and government officials at province and district levels to ensure a comprehensive “sanitation will” behind the HBC campaign</w:t>
      </w:r>
      <w:r w:rsidR="00944945" w:rsidRPr="003E5C8F">
        <w:rPr>
          <w:sz w:val="22"/>
          <w:szCs w:val="22"/>
        </w:rPr>
        <w:t xml:space="preserve"> that emphasizes consistent use of latrine facilities and hand washing with soap</w:t>
      </w:r>
      <w:r w:rsidR="00E13A45" w:rsidRPr="003E5C8F">
        <w:rPr>
          <w:sz w:val="22"/>
          <w:szCs w:val="22"/>
        </w:rPr>
        <w:t xml:space="preserve">.  </w:t>
      </w:r>
      <w:r w:rsidR="003A6FFD" w:rsidRPr="003E5C8F">
        <w:rPr>
          <w:sz w:val="22"/>
          <w:szCs w:val="22"/>
        </w:rPr>
        <w:t xml:space="preserve">To this end, </w:t>
      </w:r>
      <w:proofErr w:type="spellStart"/>
      <w:r w:rsidR="00E13A45" w:rsidRPr="003E5C8F">
        <w:rPr>
          <w:sz w:val="22"/>
          <w:szCs w:val="22"/>
        </w:rPr>
        <w:t>AusAid</w:t>
      </w:r>
      <w:proofErr w:type="spellEnd"/>
      <w:r w:rsidR="00E13A45" w:rsidRPr="003E5C8F">
        <w:rPr>
          <w:sz w:val="22"/>
          <w:szCs w:val="22"/>
        </w:rPr>
        <w:t xml:space="preserve"> recently conducted a field study of EMW’s success and verified that EMW’s approach not only yielded </w:t>
      </w:r>
      <w:r w:rsidR="00DD60C8" w:rsidRPr="003E5C8F">
        <w:rPr>
          <w:sz w:val="22"/>
          <w:szCs w:val="22"/>
        </w:rPr>
        <w:t>a 40% increase in output, but required only half (</w:t>
      </w:r>
      <w:r w:rsidR="00B0432C" w:rsidRPr="003E5C8F">
        <w:rPr>
          <w:sz w:val="22"/>
          <w:szCs w:val="22"/>
        </w:rPr>
        <w:t>$25 USD</w:t>
      </w:r>
      <w:r w:rsidR="00DD60C8" w:rsidRPr="003E5C8F">
        <w:rPr>
          <w:sz w:val="22"/>
          <w:szCs w:val="22"/>
        </w:rPr>
        <w:t xml:space="preserve">) the subsidy compared to the government’s National Target Program.  This is important in that it underscores the point that despite working in impoverished rural communities, subsidies do not answer the question of affordability.  Rather, subsidies in </w:t>
      </w:r>
      <w:r w:rsidR="00FC0C9A" w:rsidRPr="003E5C8F">
        <w:rPr>
          <w:sz w:val="22"/>
          <w:szCs w:val="22"/>
        </w:rPr>
        <w:t>an</w:t>
      </w:r>
      <w:r w:rsidR="00DD60C8" w:rsidRPr="003E5C8F">
        <w:rPr>
          <w:sz w:val="22"/>
          <w:szCs w:val="22"/>
        </w:rPr>
        <w:t xml:space="preserve"> appropriate form and </w:t>
      </w:r>
      <w:r w:rsidR="00FC0C9A" w:rsidRPr="003E5C8F">
        <w:rPr>
          <w:sz w:val="22"/>
          <w:szCs w:val="22"/>
        </w:rPr>
        <w:t xml:space="preserve">proper </w:t>
      </w:r>
      <w:r w:rsidR="00DD60C8" w:rsidRPr="003E5C8F">
        <w:rPr>
          <w:sz w:val="22"/>
          <w:szCs w:val="22"/>
        </w:rPr>
        <w:t xml:space="preserve">application within a </w:t>
      </w:r>
      <w:r w:rsidR="00FC0C9A" w:rsidRPr="003E5C8F">
        <w:rPr>
          <w:sz w:val="22"/>
          <w:szCs w:val="22"/>
        </w:rPr>
        <w:t>grounded strategy</w:t>
      </w:r>
      <w:r w:rsidR="00DD60C8" w:rsidRPr="003E5C8F">
        <w:rPr>
          <w:sz w:val="22"/>
          <w:szCs w:val="22"/>
        </w:rPr>
        <w:t>, help increase access and stimulate real demand for sanitation products and services.</w:t>
      </w:r>
    </w:p>
    <w:p w14:paraId="6B39DDCE" w14:textId="77777777" w:rsidR="000245D9" w:rsidRDefault="000245D9"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6F0E8C81" w14:textId="79643A5C" w:rsidR="00215C87" w:rsidRPr="003E5C8F" w:rsidRDefault="00B32E51" w:rsidP="00215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sidR="00215C87">
        <w:rPr>
          <w:sz w:val="22"/>
          <w:szCs w:val="22"/>
        </w:rPr>
        <w:t xml:space="preserve">For Cambodia, </w:t>
      </w:r>
      <w:r w:rsidR="00215C87" w:rsidRPr="003E5C8F">
        <w:rPr>
          <w:sz w:val="22"/>
          <w:szCs w:val="22"/>
        </w:rPr>
        <w:t xml:space="preserve">EMW aims to leverage the same innovative approach with its strategic partners in Oxfam America and </w:t>
      </w:r>
      <w:proofErr w:type="spellStart"/>
      <w:r w:rsidR="00215C87" w:rsidRPr="003E5C8F">
        <w:rPr>
          <w:sz w:val="22"/>
          <w:szCs w:val="22"/>
        </w:rPr>
        <w:t>WaterSHED</w:t>
      </w:r>
      <w:proofErr w:type="spellEnd"/>
      <w:r w:rsidR="00215C87" w:rsidRPr="003E5C8F">
        <w:rPr>
          <w:sz w:val="22"/>
          <w:szCs w:val="22"/>
        </w:rPr>
        <w:t>-Cambodia while working closely with the Ministry of Rural Development, who is responsible for the Sanitation and Ministry of Health who shares the responsibility for hygiene education.  In Oxfam, the community-led financing is an instrumental tool that organizes community members to participate even at the lowest levels of income.  Leadership capacity is developed through a series of trainings that promote strong skills sets (e.g. economic literacy, sanitation</w:t>
      </w:r>
      <w:r w:rsidR="00215C87">
        <w:rPr>
          <w:sz w:val="22"/>
          <w:szCs w:val="22"/>
        </w:rPr>
        <w:t>,</w:t>
      </w:r>
      <w:r w:rsidR="00215C87" w:rsidRPr="003E5C8F">
        <w:rPr>
          <w:sz w:val="22"/>
          <w:szCs w:val="22"/>
        </w:rPr>
        <w:t xml:space="preserve"> and HBC) as well as grounded knowledge in HBC awareness and activities. Further, the savings and loan capabilities </w:t>
      </w:r>
      <w:r w:rsidR="00215C87">
        <w:rPr>
          <w:sz w:val="22"/>
          <w:szCs w:val="22"/>
        </w:rPr>
        <w:t>are</w:t>
      </w:r>
      <w:r w:rsidR="00215C87" w:rsidRPr="003E5C8F">
        <w:rPr>
          <w:sz w:val="22"/>
          <w:szCs w:val="22"/>
        </w:rPr>
        <w:t xml:space="preserve"> leveraged to </w:t>
      </w:r>
      <w:r w:rsidR="00135C1F">
        <w:rPr>
          <w:sz w:val="22"/>
          <w:szCs w:val="22"/>
        </w:rPr>
        <w:t xml:space="preserve">either fully fund or mostly fund (coupled to rebates for households deemed ID-1 or ID-2 Poor) </w:t>
      </w:r>
      <w:r w:rsidR="00215C87" w:rsidRPr="003E5C8F">
        <w:rPr>
          <w:sz w:val="22"/>
          <w:szCs w:val="22"/>
        </w:rPr>
        <w:t>latrine facilities and equipment, which also allows the supply side of the market to not be under-valued due to subsidies.</w:t>
      </w:r>
    </w:p>
    <w:p w14:paraId="1C313198" w14:textId="77777777" w:rsidR="00215C87" w:rsidRPr="003E5C8F" w:rsidRDefault="00215C87" w:rsidP="00215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3786B064" w14:textId="0092CDD0" w:rsidR="00215C87" w:rsidRDefault="00B32E51"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sz w:val="22"/>
          <w:szCs w:val="22"/>
        </w:rPr>
        <w:tab/>
      </w:r>
      <w:r w:rsidR="00215C87" w:rsidRPr="003E5C8F">
        <w:rPr>
          <w:sz w:val="22"/>
          <w:szCs w:val="22"/>
        </w:rPr>
        <w:t xml:space="preserve">Accordingly, the strength of Oxfam America’s Saving for Change program complements the deep market-based knowledge of </w:t>
      </w:r>
      <w:proofErr w:type="spellStart"/>
      <w:r w:rsidR="00215C87" w:rsidRPr="003E5C8F">
        <w:rPr>
          <w:sz w:val="22"/>
          <w:szCs w:val="22"/>
        </w:rPr>
        <w:t>WaterSHED</w:t>
      </w:r>
      <w:proofErr w:type="spellEnd"/>
      <w:r w:rsidR="00215C87" w:rsidRPr="003E5C8F">
        <w:rPr>
          <w:sz w:val="22"/>
          <w:szCs w:val="22"/>
        </w:rPr>
        <w:t xml:space="preserve">-Cambodia in promoting HBC and strong supply chain efficacy to ensure that target communities not only have financial access to sanitation hardware and services, but also a strategic match-making of demand with strong supply-side options. </w:t>
      </w:r>
      <w:proofErr w:type="spellStart"/>
      <w:r w:rsidR="00215C87" w:rsidRPr="003E5C8F">
        <w:rPr>
          <w:sz w:val="22"/>
          <w:szCs w:val="22"/>
        </w:rPr>
        <w:t>WaterSHED</w:t>
      </w:r>
      <w:proofErr w:type="spellEnd"/>
      <w:r w:rsidR="00215C87" w:rsidRPr="003E5C8F">
        <w:rPr>
          <w:sz w:val="22"/>
          <w:szCs w:val="22"/>
        </w:rPr>
        <w:t>-Cambodia possesses extensive market research knowledge including sourcing, distribution channels and consumer end retailers to improve the efficiency, cost and quality of sanitation supply goods.  In short, the vision of this partnership brings together diverse NGOs to work together in enabling Cambodia’s rural provinces to reach its MDG targets, particularly environmental sustainability for rural areas.</w:t>
      </w:r>
    </w:p>
    <w:p w14:paraId="7C998119" w14:textId="1AEE4F93" w:rsidR="00C378BA" w:rsidRDefault="00C378BA">
      <w:pPr>
        <w:rPr>
          <w:rFonts w:cs="Calibri"/>
          <w:i/>
          <w:color w:val="000000"/>
          <w:sz w:val="22"/>
          <w:szCs w:val="22"/>
        </w:rPr>
      </w:pPr>
    </w:p>
    <w:p w14:paraId="105F5BFF" w14:textId="4C052642" w:rsidR="00DD1955" w:rsidRDefault="00C378BA" w:rsidP="0094302D">
      <w:pPr>
        <w:pStyle w:val="Heading3"/>
      </w:pPr>
      <w:bookmarkStart w:id="3" w:name="_Toc172030746"/>
      <w:r>
        <w:t>Pilot Timeline</w:t>
      </w:r>
      <w:bookmarkEnd w:id="3"/>
    </w:p>
    <w:p w14:paraId="581BC242" w14:textId="77777777" w:rsidR="00DF0423" w:rsidRPr="00DD1955" w:rsidRDefault="00DF0423"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i/>
          <w:color w:val="000000"/>
          <w:sz w:val="22"/>
          <w:szCs w:val="22"/>
        </w:rPr>
      </w:pPr>
    </w:p>
    <w:tbl>
      <w:tblPr>
        <w:tblStyle w:val="TableGrid"/>
        <w:tblW w:w="0" w:type="auto"/>
        <w:tblLook w:val="04A0" w:firstRow="1" w:lastRow="0" w:firstColumn="1" w:lastColumn="0" w:noHBand="0" w:noVBand="1"/>
      </w:tblPr>
      <w:tblGrid>
        <w:gridCol w:w="2952"/>
        <w:gridCol w:w="2952"/>
        <w:gridCol w:w="2952"/>
      </w:tblGrid>
      <w:tr w:rsidR="00C378BA" w14:paraId="02B6984A" w14:textId="77777777" w:rsidTr="00C378BA">
        <w:tc>
          <w:tcPr>
            <w:tcW w:w="2952" w:type="dxa"/>
          </w:tcPr>
          <w:p w14:paraId="6C8D586D" w14:textId="54BD43B9" w:rsidR="00C378BA" w:rsidRDefault="00C378BA"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Activity</w:t>
            </w:r>
          </w:p>
        </w:tc>
        <w:tc>
          <w:tcPr>
            <w:tcW w:w="2952" w:type="dxa"/>
          </w:tcPr>
          <w:p w14:paraId="0586377A" w14:textId="7BDC05C4" w:rsidR="00C378BA" w:rsidRDefault="00C378BA"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Output</w:t>
            </w:r>
          </w:p>
        </w:tc>
        <w:tc>
          <w:tcPr>
            <w:tcW w:w="2952" w:type="dxa"/>
          </w:tcPr>
          <w:p w14:paraId="090AE9C3" w14:textId="42D6302E" w:rsidR="00C378BA" w:rsidRDefault="00C378BA"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Time Period</w:t>
            </w:r>
          </w:p>
        </w:tc>
      </w:tr>
      <w:tr w:rsidR="00C378BA" w14:paraId="22593E71" w14:textId="77777777" w:rsidTr="00C378BA">
        <w:tc>
          <w:tcPr>
            <w:tcW w:w="2952" w:type="dxa"/>
          </w:tcPr>
          <w:p w14:paraId="31FCF612" w14:textId="40C72610" w:rsidR="00C378BA" w:rsidRDefault="00C378BA"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Oxfam America and </w:t>
            </w:r>
            <w:proofErr w:type="spellStart"/>
            <w:r>
              <w:rPr>
                <w:rFonts w:cs="Calibri"/>
                <w:color w:val="000000"/>
                <w:sz w:val="22"/>
                <w:szCs w:val="22"/>
              </w:rPr>
              <w:t>WaterSHED</w:t>
            </w:r>
            <w:proofErr w:type="spellEnd"/>
            <w:r>
              <w:rPr>
                <w:rFonts w:cs="Calibri"/>
                <w:color w:val="000000"/>
                <w:sz w:val="22"/>
                <w:szCs w:val="22"/>
              </w:rPr>
              <w:t>-Cambodia travel to EMW sanitation project sites in the Mekong Delta region of Vietnam. Learn OBA model, verify program mechanisms, strategy</w:t>
            </w:r>
            <w:r w:rsidR="00E23D2D">
              <w:rPr>
                <w:rFonts w:cs="Calibri"/>
                <w:color w:val="000000"/>
                <w:sz w:val="22"/>
                <w:szCs w:val="22"/>
              </w:rPr>
              <w:t>, and begin to exchange and formulate “blue print” for Cambodia targeted provinces.</w:t>
            </w:r>
          </w:p>
        </w:tc>
        <w:tc>
          <w:tcPr>
            <w:tcW w:w="2952" w:type="dxa"/>
          </w:tcPr>
          <w:p w14:paraId="5078EA4E" w14:textId="330C1A2A" w:rsidR="00C378BA"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Trip report</w:t>
            </w:r>
          </w:p>
        </w:tc>
        <w:tc>
          <w:tcPr>
            <w:tcW w:w="2952" w:type="dxa"/>
          </w:tcPr>
          <w:p w14:paraId="49C1940B" w14:textId="72549BBD" w:rsidR="00C378BA"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1 week (September 2011)</w:t>
            </w:r>
          </w:p>
        </w:tc>
      </w:tr>
      <w:tr w:rsidR="00E23D2D" w14:paraId="1765CB19" w14:textId="77777777" w:rsidTr="00C378BA">
        <w:tc>
          <w:tcPr>
            <w:tcW w:w="2952" w:type="dxa"/>
          </w:tcPr>
          <w:p w14:paraId="62C2E222" w14:textId="372D395A"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EMW joins Oxfam America and </w:t>
            </w:r>
            <w:proofErr w:type="spellStart"/>
            <w:r>
              <w:rPr>
                <w:rFonts w:cs="Calibri"/>
                <w:color w:val="000000"/>
                <w:sz w:val="22"/>
                <w:szCs w:val="22"/>
              </w:rPr>
              <w:t>WaterSHED</w:t>
            </w:r>
            <w:proofErr w:type="spellEnd"/>
            <w:r>
              <w:rPr>
                <w:rFonts w:cs="Calibri"/>
                <w:color w:val="000000"/>
                <w:sz w:val="22"/>
                <w:szCs w:val="22"/>
              </w:rPr>
              <w:t>-Cambodia to visit sites in targeted provinces in Cambodia. Build upon previous exchange and develop working pilot model for Cambodia Sanitation Pilot program.</w:t>
            </w:r>
          </w:p>
        </w:tc>
        <w:tc>
          <w:tcPr>
            <w:tcW w:w="2952" w:type="dxa"/>
          </w:tcPr>
          <w:p w14:paraId="6DE1CBD1" w14:textId="77777777"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Trip report; </w:t>
            </w:r>
          </w:p>
          <w:p w14:paraId="7FD45EE0" w14:textId="77777777"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696A2716" w14:textId="0A5508AA"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Working model for Cambodia Sanitation Pilot.</w:t>
            </w:r>
          </w:p>
        </w:tc>
        <w:tc>
          <w:tcPr>
            <w:tcW w:w="2952" w:type="dxa"/>
          </w:tcPr>
          <w:p w14:paraId="17330DC8" w14:textId="77777777"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1 week (September 2011)</w:t>
            </w:r>
          </w:p>
          <w:p w14:paraId="1148C644" w14:textId="77777777"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286A770C" w14:textId="7B3A1F6C"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2 weeks (September 2011)</w:t>
            </w:r>
          </w:p>
        </w:tc>
      </w:tr>
      <w:tr w:rsidR="00E23D2D" w14:paraId="26A30DA2" w14:textId="77777777" w:rsidTr="00C378BA">
        <w:tc>
          <w:tcPr>
            <w:tcW w:w="2952" w:type="dxa"/>
          </w:tcPr>
          <w:p w14:paraId="317FEF0E" w14:textId="5EA14AEB"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Implement Cambodia Sanitation Pilot in selected 2 districts of </w:t>
            </w:r>
            <w:proofErr w:type="spellStart"/>
            <w:r>
              <w:rPr>
                <w:rFonts w:cs="Calibri"/>
                <w:color w:val="000000"/>
                <w:sz w:val="22"/>
                <w:szCs w:val="22"/>
              </w:rPr>
              <w:t>Kandal</w:t>
            </w:r>
            <w:proofErr w:type="spellEnd"/>
            <w:r>
              <w:rPr>
                <w:rFonts w:cs="Calibri"/>
                <w:color w:val="000000"/>
                <w:sz w:val="22"/>
                <w:szCs w:val="22"/>
              </w:rPr>
              <w:t xml:space="preserve">, </w:t>
            </w:r>
            <w:proofErr w:type="spellStart"/>
            <w:r>
              <w:rPr>
                <w:rFonts w:cs="Calibri"/>
                <w:color w:val="000000"/>
                <w:sz w:val="22"/>
                <w:szCs w:val="22"/>
              </w:rPr>
              <w:t>Svay</w:t>
            </w:r>
            <w:proofErr w:type="spellEnd"/>
            <w:r>
              <w:rPr>
                <w:rFonts w:cs="Calibri"/>
                <w:color w:val="000000"/>
                <w:sz w:val="22"/>
                <w:szCs w:val="22"/>
              </w:rPr>
              <w:t xml:space="preserve"> </w:t>
            </w:r>
            <w:proofErr w:type="spellStart"/>
            <w:r>
              <w:rPr>
                <w:rFonts w:cs="Calibri"/>
                <w:color w:val="000000"/>
                <w:sz w:val="22"/>
                <w:szCs w:val="22"/>
              </w:rPr>
              <w:t>Rieng</w:t>
            </w:r>
            <w:proofErr w:type="spellEnd"/>
            <w:r>
              <w:rPr>
                <w:rFonts w:cs="Calibri"/>
                <w:color w:val="000000"/>
                <w:sz w:val="22"/>
                <w:szCs w:val="22"/>
              </w:rPr>
              <w:t xml:space="preserve"> or Takeo.  Setup Saving for Change group, train group leaders (animators), and conduct capacity building activities which include micro-financing, HBC and related topics. </w:t>
            </w:r>
          </w:p>
        </w:tc>
        <w:tc>
          <w:tcPr>
            <w:tcW w:w="2952" w:type="dxa"/>
          </w:tcPr>
          <w:p w14:paraId="1402AA0E" w14:textId="0AAD597D" w:rsidR="00E23D2D" w:rsidRDefault="00894065" w:rsidP="00894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8 </w:t>
            </w:r>
            <w:r w:rsidR="00E23D2D">
              <w:rPr>
                <w:rFonts w:cs="Calibri"/>
                <w:color w:val="000000"/>
                <w:sz w:val="22"/>
                <w:szCs w:val="22"/>
              </w:rPr>
              <w:t xml:space="preserve">Workshops and </w:t>
            </w:r>
            <w:r>
              <w:rPr>
                <w:rFonts w:cs="Calibri"/>
                <w:color w:val="000000"/>
                <w:sz w:val="22"/>
                <w:szCs w:val="22"/>
              </w:rPr>
              <w:t xml:space="preserve">300 </w:t>
            </w:r>
            <w:r w:rsidR="00E23D2D">
              <w:rPr>
                <w:rFonts w:cs="Calibri"/>
                <w:color w:val="000000"/>
                <w:sz w:val="22"/>
                <w:szCs w:val="22"/>
              </w:rPr>
              <w:t>participants</w:t>
            </w:r>
          </w:p>
        </w:tc>
        <w:tc>
          <w:tcPr>
            <w:tcW w:w="2952" w:type="dxa"/>
          </w:tcPr>
          <w:p w14:paraId="454296E1" w14:textId="300D6A0A"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4 months (October 2011 to February 2012)</w:t>
            </w:r>
          </w:p>
        </w:tc>
      </w:tr>
      <w:tr w:rsidR="00E23D2D" w14:paraId="7BB99008" w14:textId="77777777" w:rsidTr="00C378BA">
        <w:tc>
          <w:tcPr>
            <w:tcW w:w="2952" w:type="dxa"/>
          </w:tcPr>
          <w:p w14:paraId="1A9B03CF" w14:textId="18D78E5A"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Implement HBC campaign and marketing approach to ensure supply chain is available.</w:t>
            </w:r>
          </w:p>
        </w:tc>
        <w:tc>
          <w:tcPr>
            <w:tcW w:w="2952" w:type="dxa"/>
          </w:tcPr>
          <w:p w14:paraId="47EDD43F" w14:textId="35F9D1B6" w:rsidR="00E23D2D" w:rsidRDefault="00894065"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8</w:t>
            </w:r>
            <w:r w:rsidR="00E23D2D">
              <w:rPr>
                <w:rFonts w:cs="Calibri"/>
                <w:color w:val="000000"/>
                <w:sz w:val="22"/>
                <w:szCs w:val="22"/>
              </w:rPr>
              <w:t xml:space="preserve"> Workshops and </w:t>
            </w:r>
            <w:r>
              <w:rPr>
                <w:rFonts w:cs="Calibri"/>
                <w:color w:val="000000"/>
                <w:sz w:val="22"/>
                <w:szCs w:val="22"/>
              </w:rPr>
              <w:t xml:space="preserve">300 </w:t>
            </w:r>
            <w:r w:rsidR="00E23D2D">
              <w:rPr>
                <w:rFonts w:cs="Calibri"/>
                <w:color w:val="000000"/>
                <w:sz w:val="22"/>
                <w:szCs w:val="22"/>
              </w:rPr>
              <w:t>participants</w:t>
            </w:r>
          </w:p>
        </w:tc>
        <w:tc>
          <w:tcPr>
            <w:tcW w:w="2952" w:type="dxa"/>
          </w:tcPr>
          <w:p w14:paraId="09F449A2" w14:textId="6DFF1553"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4 months (October 2011 to February 2012)</w:t>
            </w:r>
          </w:p>
        </w:tc>
      </w:tr>
      <w:tr w:rsidR="00E23D2D" w14:paraId="6296A89A" w14:textId="77777777" w:rsidTr="00C378BA">
        <w:tc>
          <w:tcPr>
            <w:tcW w:w="2952" w:type="dxa"/>
          </w:tcPr>
          <w:p w14:paraId="75C9B9D0" w14:textId="2E1A7B84" w:rsidR="00E23D2D" w:rsidRDefault="00E23D2D"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Build </w:t>
            </w:r>
            <w:r w:rsidR="00186C0E">
              <w:rPr>
                <w:rFonts w:cs="Calibri"/>
                <w:color w:val="000000"/>
                <w:sz w:val="22"/>
                <w:szCs w:val="22"/>
              </w:rPr>
              <w:t>latrine facilities</w:t>
            </w:r>
          </w:p>
        </w:tc>
        <w:tc>
          <w:tcPr>
            <w:tcW w:w="2952" w:type="dxa"/>
          </w:tcPr>
          <w:p w14:paraId="56EA5F6A" w14:textId="2B60F53B" w:rsidR="00E23D2D" w:rsidRDefault="00894065"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300</w:t>
            </w:r>
            <w:r w:rsidR="00186C0E">
              <w:rPr>
                <w:rFonts w:cs="Calibri"/>
                <w:color w:val="000000"/>
                <w:sz w:val="22"/>
                <w:szCs w:val="22"/>
              </w:rPr>
              <w:t xml:space="preserve"> latrine facilities</w:t>
            </w:r>
          </w:p>
        </w:tc>
        <w:tc>
          <w:tcPr>
            <w:tcW w:w="2952" w:type="dxa"/>
          </w:tcPr>
          <w:p w14:paraId="785B5346" w14:textId="5921A20F" w:rsidR="00E23D2D"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2 months (February and March 2012)</w:t>
            </w:r>
          </w:p>
        </w:tc>
      </w:tr>
      <w:tr w:rsidR="00186C0E" w14:paraId="491251C2" w14:textId="77777777" w:rsidTr="00C378BA">
        <w:tc>
          <w:tcPr>
            <w:tcW w:w="2952" w:type="dxa"/>
          </w:tcPr>
          <w:p w14:paraId="768404AE" w14:textId="5ED7515F" w:rsidR="00186C0E"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Monitoring and Evaluation</w:t>
            </w:r>
          </w:p>
        </w:tc>
        <w:tc>
          <w:tcPr>
            <w:tcW w:w="2952" w:type="dxa"/>
          </w:tcPr>
          <w:p w14:paraId="41B47A73" w14:textId="60E4F13B" w:rsidR="00186C0E" w:rsidRDefault="00894065"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Monitoring report</w:t>
            </w:r>
          </w:p>
        </w:tc>
        <w:tc>
          <w:tcPr>
            <w:tcW w:w="2952" w:type="dxa"/>
          </w:tcPr>
          <w:p w14:paraId="43CA75B4" w14:textId="7A530CB0" w:rsidR="00186C0E"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2 weeks (March 2012)</w:t>
            </w:r>
          </w:p>
        </w:tc>
      </w:tr>
      <w:tr w:rsidR="00186C0E" w14:paraId="28FA3851" w14:textId="77777777" w:rsidTr="00C378BA">
        <w:tc>
          <w:tcPr>
            <w:tcW w:w="2952" w:type="dxa"/>
          </w:tcPr>
          <w:p w14:paraId="11735018" w14:textId="224F4395" w:rsidR="00186C0E"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Pilot conclusion and Reporting</w:t>
            </w:r>
          </w:p>
        </w:tc>
        <w:tc>
          <w:tcPr>
            <w:tcW w:w="2952" w:type="dxa"/>
          </w:tcPr>
          <w:p w14:paraId="0FD47200" w14:textId="55E081E5" w:rsidR="00186C0E"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Pilot write-up</w:t>
            </w:r>
          </w:p>
        </w:tc>
        <w:tc>
          <w:tcPr>
            <w:tcW w:w="2952" w:type="dxa"/>
          </w:tcPr>
          <w:p w14:paraId="64263633" w14:textId="20E41512" w:rsidR="00186C0E" w:rsidRDefault="00186C0E"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1 month (April 2012)</w:t>
            </w:r>
          </w:p>
        </w:tc>
      </w:tr>
    </w:tbl>
    <w:p w14:paraId="4529C8F1" w14:textId="1CA4807C" w:rsidR="00215C87" w:rsidRDefault="00215C87"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794EBE21" w14:textId="436F77EB" w:rsidR="00186C0E" w:rsidRDefault="00186C0E">
      <w:pPr>
        <w:rPr>
          <w:rFonts w:cs="Calibri"/>
          <w:color w:val="000000"/>
          <w:sz w:val="22"/>
          <w:szCs w:val="22"/>
        </w:rPr>
      </w:pPr>
    </w:p>
    <w:p w14:paraId="1676CC60" w14:textId="000C7770" w:rsidR="00C378BA" w:rsidRDefault="00186C0E" w:rsidP="0094302D">
      <w:pPr>
        <w:pStyle w:val="Heading3"/>
      </w:pPr>
      <w:bookmarkStart w:id="4" w:name="_Toc172030747"/>
      <w:r w:rsidRPr="00186C0E">
        <w:t>Pilot Budget</w:t>
      </w:r>
      <w:bookmarkEnd w:id="4"/>
    </w:p>
    <w:p w14:paraId="04A64559" w14:textId="77777777" w:rsidR="0059726F" w:rsidRPr="00186C0E" w:rsidRDefault="0059726F"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i/>
          <w:color w:val="000000"/>
          <w:sz w:val="22"/>
          <w:szCs w:val="22"/>
        </w:rPr>
      </w:pPr>
    </w:p>
    <w:tbl>
      <w:tblPr>
        <w:tblStyle w:val="TableGrid"/>
        <w:tblW w:w="0" w:type="auto"/>
        <w:tblLook w:val="04A0" w:firstRow="1" w:lastRow="0" w:firstColumn="1" w:lastColumn="0" w:noHBand="0" w:noVBand="1"/>
      </w:tblPr>
      <w:tblGrid>
        <w:gridCol w:w="1939"/>
        <w:gridCol w:w="1791"/>
        <w:gridCol w:w="1711"/>
      </w:tblGrid>
      <w:tr w:rsidR="00C110C8" w14:paraId="18D31116" w14:textId="77777777" w:rsidTr="0059726F">
        <w:trPr>
          <w:trHeight w:val="313"/>
        </w:trPr>
        <w:tc>
          <w:tcPr>
            <w:tcW w:w="1939" w:type="dxa"/>
          </w:tcPr>
          <w:p w14:paraId="4AFE024B" w14:textId="69497B75" w:rsidR="00C110C8" w:rsidRPr="0059726F" w:rsidRDefault="00C110C8" w:rsidP="0059726F">
            <w:pPr>
              <w:jc w:val="center"/>
              <w:rPr>
                <w:rFonts w:cs="Helvetica"/>
                <w:b/>
                <w:color w:val="000000"/>
                <w:sz w:val="22"/>
                <w:szCs w:val="22"/>
              </w:rPr>
            </w:pPr>
            <w:r w:rsidRPr="0059726F">
              <w:rPr>
                <w:rFonts w:cs="Helvetica"/>
                <w:b/>
                <w:color w:val="000000"/>
                <w:sz w:val="22"/>
                <w:szCs w:val="22"/>
              </w:rPr>
              <w:t>Activity</w:t>
            </w:r>
          </w:p>
        </w:tc>
        <w:tc>
          <w:tcPr>
            <w:tcW w:w="1791" w:type="dxa"/>
          </w:tcPr>
          <w:p w14:paraId="0DAACE64" w14:textId="7D917B04" w:rsidR="00C110C8" w:rsidRPr="0059726F" w:rsidRDefault="00C110C8" w:rsidP="00C110C8">
            <w:pPr>
              <w:jc w:val="center"/>
              <w:rPr>
                <w:rFonts w:cs="Helvetica"/>
                <w:b/>
                <w:color w:val="000000"/>
                <w:sz w:val="22"/>
                <w:szCs w:val="22"/>
              </w:rPr>
            </w:pPr>
            <w:r w:rsidRPr="0059726F">
              <w:rPr>
                <w:rFonts w:cs="Helvetica"/>
                <w:b/>
                <w:color w:val="000000"/>
                <w:sz w:val="22"/>
                <w:szCs w:val="22"/>
              </w:rPr>
              <w:t xml:space="preserve">Unit </w:t>
            </w:r>
          </w:p>
        </w:tc>
        <w:tc>
          <w:tcPr>
            <w:tcW w:w="1711" w:type="dxa"/>
          </w:tcPr>
          <w:p w14:paraId="70C06E0F" w14:textId="15C401E3" w:rsidR="00C110C8" w:rsidRPr="0059726F" w:rsidRDefault="00C110C8" w:rsidP="0059726F">
            <w:pPr>
              <w:jc w:val="center"/>
              <w:rPr>
                <w:rFonts w:cs="Helvetica"/>
                <w:b/>
                <w:color w:val="000000"/>
                <w:sz w:val="22"/>
                <w:szCs w:val="22"/>
              </w:rPr>
            </w:pPr>
            <w:r w:rsidRPr="0059726F">
              <w:rPr>
                <w:rFonts w:cs="Helvetica"/>
                <w:b/>
                <w:color w:val="000000"/>
                <w:sz w:val="22"/>
                <w:szCs w:val="22"/>
              </w:rPr>
              <w:t>Total Cost</w:t>
            </w:r>
          </w:p>
        </w:tc>
      </w:tr>
      <w:tr w:rsidR="00C110C8" w14:paraId="28329E0A" w14:textId="77777777" w:rsidTr="0059726F">
        <w:trPr>
          <w:trHeight w:val="313"/>
        </w:trPr>
        <w:tc>
          <w:tcPr>
            <w:tcW w:w="1939" w:type="dxa"/>
          </w:tcPr>
          <w:p w14:paraId="744339CD" w14:textId="23D1C71E" w:rsidR="00C110C8" w:rsidRPr="00186C0E" w:rsidRDefault="00C110C8">
            <w:pPr>
              <w:rPr>
                <w:rFonts w:cs="Helvetica"/>
                <w:color w:val="000000"/>
                <w:sz w:val="22"/>
                <w:szCs w:val="22"/>
              </w:rPr>
            </w:pPr>
            <w:r>
              <w:rPr>
                <w:rFonts w:cs="Helvetica"/>
                <w:color w:val="000000"/>
                <w:sz w:val="22"/>
                <w:szCs w:val="22"/>
              </w:rPr>
              <w:t xml:space="preserve">Field visit for Oxfam America and </w:t>
            </w:r>
            <w:proofErr w:type="spellStart"/>
            <w:r>
              <w:rPr>
                <w:rFonts w:cs="Helvetica"/>
                <w:color w:val="000000"/>
                <w:sz w:val="22"/>
                <w:szCs w:val="22"/>
              </w:rPr>
              <w:t>WaterSHED</w:t>
            </w:r>
            <w:proofErr w:type="spellEnd"/>
            <w:r>
              <w:rPr>
                <w:rFonts w:cs="Helvetica"/>
                <w:color w:val="000000"/>
                <w:sz w:val="22"/>
                <w:szCs w:val="22"/>
              </w:rPr>
              <w:t>-Cambodia to Vietnam (4 persons @$500/person)</w:t>
            </w:r>
          </w:p>
        </w:tc>
        <w:tc>
          <w:tcPr>
            <w:tcW w:w="1791" w:type="dxa"/>
          </w:tcPr>
          <w:p w14:paraId="520D723F" w14:textId="3587E15E" w:rsidR="00C110C8" w:rsidRPr="00186C0E" w:rsidRDefault="00C110C8" w:rsidP="0059726F">
            <w:pPr>
              <w:jc w:val="right"/>
              <w:rPr>
                <w:rFonts w:cs="Helvetica"/>
                <w:color w:val="000000"/>
                <w:sz w:val="22"/>
                <w:szCs w:val="22"/>
              </w:rPr>
            </w:pPr>
            <w:r>
              <w:rPr>
                <w:rFonts w:cs="Helvetica"/>
                <w:color w:val="000000"/>
                <w:sz w:val="22"/>
                <w:szCs w:val="22"/>
              </w:rPr>
              <w:t>4</w:t>
            </w:r>
          </w:p>
        </w:tc>
        <w:tc>
          <w:tcPr>
            <w:tcW w:w="1711" w:type="dxa"/>
          </w:tcPr>
          <w:p w14:paraId="25A38A59" w14:textId="7CEBCF40" w:rsidR="00C110C8" w:rsidRPr="00186C0E" w:rsidRDefault="00C110C8" w:rsidP="0059726F">
            <w:pPr>
              <w:jc w:val="right"/>
              <w:rPr>
                <w:rFonts w:cs="Helvetica"/>
                <w:color w:val="000000"/>
                <w:sz w:val="22"/>
                <w:szCs w:val="22"/>
              </w:rPr>
            </w:pPr>
            <w:r>
              <w:rPr>
                <w:rFonts w:cs="Helvetica"/>
                <w:color w:val="000000"/>
                <w:sz w:val="22"/>
                <w:szCs w:val="22"/>
              </w:rPr>
              <w:t>$2,000.00</w:t>
            </w:r>
          </w:p>
        </w:tc>
      </w:tr>
      <w:tr w:rsidR="00C110C8" w14:paraId="66A44791" w14:textId="77777777" w:rsidTr="0059726F">
        <w:trPr>
          <w:trHeight w:val="313"/>
        </w:trPr>
        <w:tc>
          <w:tcPr>
            <w:tcW w:w="1939" w:type="dxa"/>
          </w:tcPr>
          <w:p w14:paraId="7318EE66" w14:textId="679EE010" w:rsidR="00C110C8" w:rsidRDefault="00C110C8">
            <w:pPr>
              <w:rPr>
                <w:rFonts w:cs="Helvetica"/>
                <w:color w:val="000000"/>
                <w:sz w:val="22"/>
                <w:szCs w:val="22"/>
              </w:rPr>
            </w:pPr>
            <w:r>
              <w:rPr>
                <w:rFonts w:cs="Helvetica"/>
                <w:color w:val="000000"/>
                <w:sz w:val="22"/>
                <w:szCs w:val="22"/>
              </w:rPr>
              <w:t>Field visit for EMW to Cambodia (2 persons @$500/person)</w:t>
            </w:r>
          </w:p>
        </w:tc>
        <w:tc>
          <w:tcPr>
            <w:tcW w:w="1791" w:type="dxa"/>
          </w:tcPr>
          <w:p w14:paraId="1E7EA3D6" w14:textId="27A78119" w:rsidR="00C110C8" w:rsidRDefault="00C110C8" w:rsidP="0059726F">
            <w:pPr>
              <w:jc w:val="right"/>
              <w:rPr>
                <w:rFonts w:cs="Helvetica"/>
                <w:color w:val="000000"/>
                <w:sz w:val="22"/>
                <w:szCs w:val="22"/>
              </w:rPr>
            </w:pPr>
            <w:r>
              <w:rPr>
                <w:rFonts w:cs="Helvetica"/>
                <w:color w:val="000000"/>
                <w:sz w:val="22"/>
                <w:szCs w:val="22"/>
              </w:rPr>
              <w:t>2</w:t>
            </w:r>
          </w:p>
        </w:tc>
        <w:tc>
          <w:tcPr>
            <w:tcW w:w="1711" w:type="dxa"/>
          </w:tcPr>
          <w:p w14:paraId="2E21ED95" w14:textId="030577B4" w:rsidR="00C110C8" w:rsidRDefault="00C110C8" w:rsidP="0059726F">
            <w:pPr>
              <w:jc w:val="right"/>
              <w:rPr>
                <w:rFonts w:cs="Helvetica"/>
                <w:color w:val="000000"/>
                <w:sz w:val="22"/>
                <w:szCs w:val="22"/>
              </w:rPr>
            </w:pPr>
            <w:r>
              <w:rPr>
                <w:rFonts w:cs="Helvetica"/>
                <w:color w:val="000000"/>
                <w:sz w:val="22"/>
                <w:szCs w:val="22"/>
              </w:rPr>
              <w:t>$1,000.00</w:t>
            </w:r>
          </w:p>
        </w:tc>
      </w:tr>
      <w:tr w:rsidR="00C110C8" w14:paraId="50271361" w14:textId="77777777" w:rsidTr="0059726F">
        <w:trPr>
          <w:trHeight w:val="313"/>
        </w:trPr>
        <w:tc>
          <w:tcPr>
            <w:tcW w:w="1939" w:type="dxa"/>
          </w:tcPr>
          <w:p w14:paraId="08B3EA40" w14:textId="565B0269" w:rsidR="00C110C8" w:rsidRDefault="00C110C8" w:rsidP="00C110C8">
            <w:pPr>
              <w:rPr>
                <w:rFonts w:cs="Helvetica"/>
                <w:color w:val="000000"/>
                <w:sz w:val="22"/>
                <w:szCs w:val="22"/>
              </w:rPr>
            </w:pPr>
            <w:r>
              <w:rPr>
                <w:rFonts w:cs="Helvetica"/>
                <w:color w:val="000000"/>
                <w:sz w:val="22"/>
                <w:szCs w:val="22"/>
              </w:rPr>
              <w:t>Community Wealth Fund (300 households @$20/household)</w:t>
            </w:r>
          </w:p>
        </w:tc>
        <w:tc>
          <w:tcPr>
            <w:tcW w:w="1791" w:type="dxa"/>
          </w:tcPr>
          <w:p w14:paraId="792E43E2" w14:textId="6F7DB373" w:rsidR="00C110C8" w:rsidRDefault="00C110C8" w:rsidP="0059726F">
            <w:pPr>
              <w:jc w:val="right"/>
              <w:rPr>
                <w:rFonts w:cs="Helvetica"/>
                <w:color w:val="000000"/>
                <w:sz w:val="22"/>
                <w:szCs w:val="22"/>
              </w:rPr>
            </w:pPr>
            <w:r>
              <w:rPr>
                <w:rFonts w:cs="Helvetica"/>
                <w:color w:val="000000"/>
                <w:sz w:val="22"/>
                <w:szCs w:val="22"/>
              </w:rPr>
              <w:t>300</w:t>
            </w:r>
          </w:p>
        </w:tc>
        <w:tc>
          <w:tcPr>
            <w:tcW w:w="1711" w:type="dxa"/>
          </w:tcPr>
          <w:p w14:paraId="36254DD1" w14:textId="19BDE524" w:rsidR="00C110C8" w:rsidRDefault="00C110C8" w:rsidP="0059726F">
            <w:pPr>
              <w:jc w:val="right"/>
              <w:rPr>
                <w:rFonts w:cs="Helvetica"/>
                <w:color w:val="000000"/>
                <w:sz w:val="22"/>
                <w:szCs w:val="22"/>
              </w:rPr>
            </w:pPr>
            <w:r>
              <w:rPr>
                <w:rFonts w:cs="Helvetica"/>
                <w:color w:val="000000"/>
                <w:sz w:val="22"/>
                <w:szCs w:val="22"/>
              </w:rPr>
              <w:t>$6,000.00</w:t>
            </w:r>
          </w:p>
        </w:tc>
      </w:tr>
      <w:tr w:rsidR="00C110C8" w14:paraId="5ABC7F4E" w14:textId="77777777" w:rsidTr="0059726F">
        <w:trPr>
          <w:trHeight w:val="313"/>
        </w:trPr>
        <w:tc>
          <w:tcPr>
            <w:tcW w:w="1939" w:type="dxa"/>
          </w:tcPr>
          <w:p w14:paraId="12642CF8" w14:textId="0C6CA8E8" w:rsidR="00C110C8" w:rsidRDefault="00C110C8">
            <w:pPr>
              <w:rPr>
                <w:rFonts w:cs="Helvetica"/>
                <w:color w:val="000000"/>
                <w:sz w:val="22"/>
                <w:szCs w:val="22"/>
              </w:rPr>
            </w:pPr>
            <w:r>
              <w:rPr>
                <w:rFonts w:cs="Helvetica"/>
                <w:color w:val="000000"/>
                <w:sz w:val="22"/>
                <w:szCs w:val="22"/>
              </w:rPr>
              <w:t>HBC Campaign and Capacity Building for Saving for Change groups</w:t>
            </w:r>
          </w:p>
        </w:tc>
        <w:tc>
          <w:tcPr>
            <w:tcW w:w="1791" w:type="dxa"/>
          </w:tcPr>
          <w:p w14:paraId="281DDAFF" w14:textId="2DE670A0" w:rsidR="00C110C8" w:rsidRDefault="00C110C8" w:rsidP="0059726F">
            <w:pPr>
              <w:jc w:val="right"/>
              <w:rPr>
                <w:rFonts w:cs="Helvetica"/>
                <w:color w:val="000000"/>
                <w:sz w:val="22"/>
                <w:szCs w:val="22"/>
              </w:rPr>
            </w:pPr>
            <w:r>
              <w:rPr>
                <w:rFonts w:cs="Helvetica"/>
                <w:color w:val="000000"/>
                <w:sz w:val="22"/>
                <w:szCs w:val="22"/>
              </w:rPr>
              <w:t>300</w:t>
            </w:r>
          </w:p>
        </w:tc>
        <w:tc>
          <w:tcPr>
            <w:tcW w:w="1711" w:type="dxa"/>
          </w:tcPr>
          <w:p w14:paraId="3C0D066E" w14:textId="17B0E9ED" w:rsidR="00C110C8" w:rsidRDefault="00C110C8" w:rsidP="0059726F">
            <w:pPr>
              <w:jc w:val="right"/>
              <w:rPr>
                <w:rFonts w:cs="Helvetica"/>
                <w:color w:val="000000"/>
                <w:sz w:val="22"/>
                <w:szCs w:val="22"/>
              </w:rPr>
            </w:pPr>
            <w:r>
              <w:rPr>
                <w:rFonts w:cs="Helvetica"/>
                <w:color w:val="000000"/>
                <w:sz w:val="22"/>
                <w:szCs w:val="22"/>
              </w:rPr>
              <w:t>$4,500.00</w:t>
            </w:r>
          </w:p>
        </w:tc>
      </w:tr>
      <w:tr w:rsidR="00C110C8" w14:paraId="01499525" w14:textId="77777777" w:rsidTr="0059726F">
        <w:trPr>
          <w:trHeight w:val="313"/>
        </w:trPr>
        <w:tc>
          <w:tcPr>
            <w:tcW w:w="1939" w:type="dxa"/>
          </w:tcPr>
          <w:p w14:paraId="0666B7F2" w14:textId="03ABBA58" w:rsidR="00C110C8" w:rsidRDefault="00C110C8" w:rsidP="0059726F">
            <w:pPr>
              <w:rPr>
                <w:rFonts w:cs="Helvetica"/>
                <w:color w:val="000000"/>
                <w:sz w:val="22"/>
                <w:szCs w:val="22"/>
              </w:rPr>
            </w:pPr>
            <w:r>
              <w:rPr>
                <w:rFonts w:cs="Helvetica"/>
                <w:color w:val="000000"/>
                <w:sz w:val="22"/>
                <w:szCs w:val="22"/>
              </w:rPr>
              <w:t>EMW overhead includes Monitoring and Evaluation and financial admin @$5/household</w:t>
            </w:r>
          </w:p>
        </w:tc>
        <w:tc>
          <w:tcPr>
            <w:tcW w:w="1791" w:type="dxa"/>
          </w:tcPr>
          <w:p w14:paraId="2DAB7769" w14:textId="295A2E37" w:rsidR="00C110C8" w:rsidRDefault="00C110C8" w:rsidP="0059726F">
            <w:pPr>
              <w:jc w:val="right"/>
              <w:rPr>
                <w:rFonts w:cs="Helvetica"/>
                <w:color w:val="000000"/>
                <w:sz w:val="22"/>
                <w:szCs w:val="22"/>
              </w:rPr>
            </w:pPr>
            <w:r>
              <w:rPr>
                <w:rFonts w:cs="Helvetica"/>
                <w:color w:val="000000"/>
                <w:sz w:val="22"/>
                <w:szCs w:val="22"/>
              </w:rPr>
              <w:t>300</w:t>
            </w:r>
          </w:p>
        </w:tc>
        <w:tc>
          <w:tcPr>
            <w:tcW w:w="1711" w:type="dxa"/>
          </w:tcPr>
          <w:p w14:paraId="6DEEE810" w14:textId="7730BC3E" w:rsidR="00C110C8" w:rsidRDefault="00C110C8" w:rsidP="0059726F">
            <w:pPr>
              <w:jc w:val="right"/>
              <w:rPr>
                <w:rFonts w:cs="Helvetica"/>
                <w:color w:val="000000"/>
                <w:sz w:val="22"/>
                <w:szCs w:val="22"/>
              </w:rPr>
            </w:pPr>
            <w:r>
              <w:rPr>
                <w:rFonts w:cs="Helvetica"/>
                <w:color w:val="000000"/>
                <w:sz w:val="22"/>
                <w:szCs w:val="22"/>
              </w:rPr>
              <w:t>$1,500.00</w:t>
            </w:r>
          </w:p>
        </w:tc>
      </w:tr>
      <w:tr w:rsidR="00C110C8" w14:paraId="634D6952" w14:textId="77777777" w:rsidTr="008E45EA">
        <w:trPr>
          <w:trHeight w:val="313"/>
        </w:trPr>
        <w:tc>
          <w:tcPr>
            <w:tcW w:w="5441" w:type="dxa"/>
            <w:gridSpan w:val="3"/>
          </w:tcPr>
          <w:p w14:paraId="7D25DA34" w14:textId="2BC69D68" w:rsidR="00C110C8" w:rsidRDefault="00C110C8" w:rsidP="00C110C8">
            <w:pPr>
              <w:jc w:val="right"/>
              <w:rPr>
                <w:rFonts w:cs="Helvetica"/>
                <w:color w:val="000000"/>
                <w:sz w:val="22"/>
                <w:szCs w:val="22"/>
              </w:rPr>
            </w:pPr>
            <w:r>
              <w:rPr>
                <w:rFonts w:cs="Helvetica"/>
                <w:color w:val="000000"/>
                <w:sz w:val="22"/>
                <w:szCs w:val="22"/>
              </w:rPr>
              <w:t>Subtotal:            $15,000.00</w:t>
            </w:r>
          </w:p>
        </w:tc>
      </w:tr>
    </w:tbl>
    <w:p w14:paraId="1CA0BC22" w14:textId="77777777" w:rsidR="00186C0E" w:rsidRDefault="00186C0E">
      <w:pPr>
        <w:rPr>
          <w:rFonts w:ascii="Helvetica" w:hAnsi="Helvetica" w:cs="Helvetica"/>
          <w:b/>
          <w:color w:val="000000"/>
          <w:sz w:val="22"/>
          <w:szCs w:val="22"/>
        </w:rPr>
      </w:pPr>
      <w:r>
        <w:rPr>
          <w:rFonts w:ascii="Helvetica" w:hAnsi="Helvetica" w:cs="Helvetica"/>
          <w:b/>
          <w:color w:val="000000"/>
          <w:sz w:val="22"/>
          <w:szCs w:val="22"/>
        </w:rPr>
        <w:br w:type="page"/>
      </w:r>
    </w:p>
    <w:p w14:paraId="25FF1B27" w14:textId="1C0F4597" w:rsidR="005B42F6" w:rsidRPr="003E5C8F" w:rsidRDefault="00365AF4" w:rsidP="00365AF4">
      <w:pPr>
        <w:pStyle w:val="Heading2"/>
      </w:pPr>
      <w:bookmarkStart w:id="5" w:name="_Toc172030748"/>
      <w:r>
        <w:t>3</w:t>
      </w:r>
      <w:r w:rsidR="005B42F6" w:rsidRPr="003E5C8F">
        <w:t xml:space="preserve"> </w:t>
      </w:r>
      <w:r w:rsidR="001066A7">
        <w:tab/>
      </w:r>
      <w:r w:rsidR="005B42F6" w:rsidRPr="003E5C8F">
        <w:t xml:space="preserve">Capability and </w:t>
      </w:r>
      <w:r>
        <w:t>E</w:t>
      </w:r>
      <w:r w:rsidR="005B42F6" w:rsidRPr="003E5C8F">
        <w:t xml:space="preserve">xperience of </w:t>
      </w:r>
      <w:r>
        <w:t>M</w:t>
      </w:r>
      <w:r w:rsidR="005B42F6" w:rsidRPr="003E5C8F">
        <w:t xml:space="preserve">anaging and </w:t>
      </w:r>
      <w:r>
        <w:t>A</w:t>
      </w:r>
      <w:r w:rsidR="005B42F6" w:rsidRPr="003E5C8F">
        <w:t xml:space="preserve">ccounting for </w:t>
      </w:r>
      <w:r>
        <w:t>G</w:t>
      </w:r>
      <w:r w:rsidR="005B42F6" w:rsidRPr="003E5C8F">
        <w:t>rants</w:t>
      </w:r>
      <w:bookmarkEnd w:id="5"/>
    </w:p>
    <w:p w14:paraId="46C16FA0" w14:textId="77777777" w:rsidR="00533962" w:rsidRPr="003E5C8F" w:rsidRDefault="00533962"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05E41968" w14:textId="77777777" w:rsidR="00533962" w:rsidRPr="003E5C8F" w:rsidRDefault="00533962" w:rsidP="00365AF4">
      <w:pPr>
        <w:widowControl w:val="0"/>
        <w:autoSpaceDE w:val="0"/>
        <w:autoSpaceDN w:val="0"/>
        <w:adjustRightInd w:val="0"/>
        <w:ind w:firstLine="720"/>
        <w:jc w:val="both"/>
        <w:rPr>
          <w:bCs/>
          <w:sz w:val="22"/>
          <w:szCs w:val="22"/>
        </w:rPr>
      </w:pPr>
      <w:r w:rsidRPr="003E5C8F">
        <w:rPr>
          <w:bCs/>
          <w:sz w:val="22"/>
          <w:szCs w:val="22"/>
        </w:rPr>
        <w:t xml:space="preserve">EMW has many </w:t>
      </w:r>
      <w:r w:rsidRPr="003E5C8F">
        <w:rPr>
          <w:sz w:val="22"/>
          <w:szCs w:val="22"/>
        </w:rPr>
        <w:t>internal mechanisms</w:t>
      </w:r>
      <w:r w:rsidRPr="003E5C8F">
        <w:rPr>
          <w:bCs/>
          <w:sz w:val="22"/>
          <w:szCs w:val="22"/>
        </w:rPr>
        <w:t xml:space="preserve"> in place to ensure good stewardship and financial transparency including a d</w:t>
      </w:r>
      <w:r w:rsidRPr="003E5C8F">
        <w:rPr>
          <w:sz w:val="22"/>
          <w:szCs w:val="22"/>
        </w:rPr>
        <w:t xml:space="preserve">edicated and experienced team of finance and accounting, </w:t>
      </w:r>
      <w:r w:rsidRPr="003E5C8F">
        <w:rPr>
          <w:bCs/>
          <w:sz w:val="22"/>
          <w:szCs w:val="22"/>
        </w:rPr>
        <w:t>an e</w:t>
      </w:r>
      <w:r w:rsidRPr="003E5C8F">
        <w:rPr>
          <w:sz w:val="22"/>
          <w:szCs w:val="22"/>
        </w:rPr>
        <w:t xml:space="preserve">ngaged </w:t>
      </w:r>
      <w:r w:rsidRPr="003E5C8F">
        <w:rPr>
          <w:bCs/>
          <w:sz w:val="22"/>
          <w:szCs w:val="22"/>
          <w:u w:color="ED5A25"/>
        </w:rPr>
        <w:t>Board of Directors</w:t>
      </w:r>
      <w:r w:rsidRPr="003E5C8F">
        <w:rPr>
          <w:sz w:val="22"/>
          <w:szCs w:val="22"/>
        </w:rPr>
        <w:t xml:space="preserve"> that provides thorough oversight of every dollar that EMW spends, </w:t>
      </w:r>
      <w:r w:rsidRPr="003E5C8F">
        <w:rPr>
          <w:bCs/>
          <w:sz w:val="22"/>
          <w:szCs w:val="22"/>
        </w:rPr>
        <w:t>f</w:t>
      </w:r>
      <w:r w:rsidRPr="003E5C8F">
        <w:rPr>
          <w:sz w:val="22"/>
          <w:szCs w:val="22"/>
        </w:rPr>
        <w:t>our board and staff committees that focus on monitoring finances</w:t>
      </w:r>
      <w:r w:rsidRPr="003E5C8F">
        <w:rPr>
          <w:bCs/>
          <w:sz w:val="22"/>
          <w:szCs w:val="22"/>
        </w:rPr>
        <w:t>, and s</w:t>
      </w:r>
      <w:r w:rsidRPr="003E5C8F">
        <w:rPr>
          <w:bCs/>
          <w:sz w:val="22"/>
          <w:szCs w:val="22"/>
          <w:u w:color="ED5A25"/>
        </w:rPr>
        <w:t>everal written policies</w:t>
      </w:r>
      <w:r w:rsidRPr="003E5C8F">
        <w:rPr>
          <w:sz w:val="22"/>
          <w:szCs w:val="22"/>
        </w:rPr>
        <w:t xml:space="preserve"> in place to guide the Board and staff. </w:t>
      </w:r>
    </w:p>
    <w:p w14:paraId="1AAF5AD0" w14:textId="77777777" w:rsidR="00B0432C" w:rsidRPr="003E5C8F" w:rsidRDefault="00B0432C">
      <w:pPr>
        <w:rPr>
          <w:i/>
          <w:sz w:val="22"/>
          <w:szCs w:val="22"/>
        </w:rPr>
      </w:pPr>
    </w:p>
    <w:p w14:paraId="543BA199" w14:textId="77777777" w:rsidR="00533962" w:rsidRDefault="00533962" w:rsidP="00533962">
      <w:pPr>
        <w:jc w:val="both"/>
        <w:rPr>
          <w:i/>
          <w:sz w:val="22"/>
          <w:szCs w:val="22"/>
        </w:rPr>
      </w:pPr>
      <w:r w:rsidRPr="003E5C8F">
        <w:rPr>
          <w:i/>
          <w:sz w:val="22"/>
          <w:szCs w:val="22"/>
        </w:rPr>
        <w:t>Organizational Structure</w:t>
      </w:r>
    </w:p>
    <w:p w14:paraId="4240E579" w14:textId="77777777" w:rsidR="00365AF4" w:rsidRPr="003E5C8F" w:rsidRDefault="00365AF4" w:rsidP="00533962">
      <w:pPr>
        <w:jc w:val="both"/>
        <w:rPr>
          <w:i/>
          <w:sz w:val="22"/>
          <w:szCs w:val="22"/>
        </w:rPr>
      </w:pPr>
    </w:p>
    <w:p w14:paraId="0EB341BA" w14:textId="77777777" w:rsidR="00533962" w:rsidRPr="003E5C8F" w:rsidRDefault="00533962" w:rsidP="00365AF4">
      <w:pPr>
        <w:ind w:firstLine="720"/>
        <w:jc w:val="both"/>
        <w:rPr>
          <w:sz w:val="22"/>
          <w:szCs w:val="22"/>
        </w:rPr>
      </w:pPr>
      <w:r w:rsidRPr="003E5C8F">
        <w:rPr>
          <w:sz w:val="22"/>
          <w:szCs w:val="22"/>
        </w:rPr>
        <w:t>EMW was established in Oakland, California in 1988 as a 501 (c)(3) tax-exempt nonprofit organization in the United States of America.  It has had a license to operate in Vietnam since 1988</w:t>
      </w:r>
      <w:r w:rsidR="00B0432C" w:rsidRPr="003E5C8F">
        <w:rPr>
          <w:sz w:val="22"/>
          <w:szCs w:val="22"/>
        </w:rPr>
        <w:t xml:space="preserve"> and in Cambodia since 2008.</w:t>
      </w:r>
    </w:p>
    <w:p w14:paraId="0DED3991" w14:textId="77777777" w:rsidR="00533962" w:rsidRPr="003E5C8F" w:rsidRDefault="00533962" w:rsidP="00533962">
      <w:pPr>
        <w:jc w:val="both"/>
        <w:rPr>
          <w:b/>
          <w:sz w:val="22"/>
          <w:szCs w:val="22"/>
        </w:rPr>
      </w:pPr>
    </w:p>
    <w:p w14:paraId="60C61D9B" w14:textId="77777777" w:rsidR="00533962" w:rsidRPr="003E5C8F" w:rsidRDefault="00533962" w:rsidP="00533962">
      <w:pPr>
        <w:jc w:val="both"/>
        <w:rPr>
          <w:i/>
          <w:sz w:val="22"/>
          <w:szCs w:val="22"/>
        </w:rPr>
      </w:pPr>
      <w:r w:rsidRPr="003E5C8F">
        <w:rPr>
          <w:i/>
          <w:sz w:val="22"/>
          <w:szCs w:val="22"/>
        </w:rPr>
        <w:t>Dedicated and Experienced Team in Finance &amp; Accounting</w:t>
      </w:r>
    </w:p>
    <w:p w14:paraId="4EB01C76" w14:textId="77777777" w:rsidR="00365AF4" w:rsidRDefault="00365AF4" w:rsidP="00B0432C">
      <w:pPr>
        <w:jc w:val="both"/>
        <w:rPr>
          <w:sz w:val="22"/>
          <w:szCs w:val="22"/>
        </w:rPr>
      </w:pPr>
    </w:p>
    <w:p w14:paraId="2B6AAA69" w14:textId="77777777" w:rsidR="00533962" w:rsidRPr="003E5C8F" w:rsidRDefault="00533962" w:rsidP="00365AF4">
      <w:pPr>
        <w:ind w:firstLine="720"/>
        <w:jc w:val="both"/>
        <w:rPr>
          <w:sz w:val="22"/>
          <w:szCs w:val="22"/>
        </w:rPr>
      </w:pPr>
      <w:r w:rsidRPr="003E5C8F">
        <w:rPr>
          <w:sz w:val="22"/>
          <w:szCs w:val="22"/>
        </w:rPr>
        <w:t xml:space="preserve">In Vietnam, the Country Director, Ms. Minh Chau Nguyen, has more than 30 years experience in program and project management and international development. With the assistance of an Administration and Finance Department led by Ms. Ho </w:t>
      </w:r>
      <w:proofErr w:type="spellStart"/>
      <w:r w:rsidRPr="003E5C8F">
        <w:rPr>
          <w:sz w:val="22"/>
          <w:szCs w:val="22"/>
        </w:rPr>
        <w:t>Thi</w:t>
      </w:r>
      <w:proofErr w:type="spellEnd"/>
      <w:r w:rsidRPr="003E5C8F">
        <w:rPr>
          <w:sz w:val="22"/>
          <w:szCs w:val="22"/>
        </w:rPr>
        <w:t xml:space="preserve"> Y </w:t>
      </w:r>
      <w:proofErr w:type="spellStart"/>
      <w:r w:rsidRPr="003E5C8F">
        <w:rPr>
          <w:sz w:val="22"/>
          <w:szCs w:val="22"/>
        </w:rPr>
        <w:t>Nhi</w:t>
      </w:r>
      <w:proofErr w:type="spellEnd"/>
      <w:r w:rsidRPr="003E5C8F">
        <w:rPr>
          <w:sz w:val="22"/>
          <w:szCs w:val="22"/>
        </w:rPr>
        <w:t>, Ms. Minh Chau Nguyen manages the budget for EMW, which</w:t>
      </w:r>
      <w:r w:rsidR="00C00623" w:rsidRPr="003E5C8F">
        <w:rPr>
          <w:sz w:val="22"/>
          <w:szCs w:val="22"/>
        </w:rPr>
        <w:t xml:space="preserve"> in 2011 is </w:t>
      </w:r>
      <w:r w:rsidRPr="003E5C8F">
        <w:rPr>
          <w:sz w:val="22"/>
          <w:szCs w:val="22"/>
        </w:rPr>
        <w:t>$15 million</w:t>
      </w:r>
      <w:r w:rsidR="00C00623" w:rsidRPr="003E5C8F">
        <w:rPr>
          <w:sz w:val="22"/>
          <w:szCs w:val="22"/>
        </w:rPr>
        <w:t xml:space="preserve"> USD</w:t>
      </w:r>
      <w:r w:rsidRPr="003E5C8F">
        <w:rPr>
          <w:sz w:val="22"/>
          <w:szCs w:val="22"/>
        </w:rPr>
        <w:t xml:space="preserve">. </w:t>
      </w:r>
      <w:r w:rsidR="00B0432C" w:rsidRPr="003E5C8F">
        <w:rPr>
          <w:sz w:val="22"/>
          <w:szCs w:val="22"/>
        </w:rPr>
        <w:t xml:space="preserve">To date, EMW has disbursed more than $92 million </w:t>
      </w:r>
      <w:r w:rsidR="00C00623" w:rsidRPr="003E5C8F">
        <w:rPr>
          <w:sz w:val="22"/>
          <w:szCs w:val="22"/>
        </w:rPr>
        <w:t xml:space="preserve">USD </w:t>
      </w:r>
      <w:r w:rsidR="00B0432C" w:rsidRPr="003E5C8F">
        <w:rPr>
          <w:sz w:val="22"/>
          <w:szCs w:val="22"/>
        </w:rPr>
        <w:t>to Vietnam and over $200,000</w:t>
      </w:r>
      <w:r w:rsidR="00C00623" w:rsidRPr="003E5C8F">
        <w:rPr>
          <w:sz w:val="22"/>
          <w:szCs w:val="22"/>
        </w:rPr>
        <w:t xml:space="preserve"> USD</w:t>
      </w:r>
      <w:r w:rsidR="00B0432C" w:rsidRPr="003E5C8F">
        <w:rPr>
          <w:sz w:val="22"/>
          <w:szCs w:val="22"/>
        </w:rPr>
        <w:t xml:space="preserve"> in Cambodia.</w:t>
      </w:r>
    </w:p>
    <w:p w14:paraId="36185596" w14:textId="77777777" w:rsidR="006E4FDF" w:rsidRPr="003E5C8F" w:rsidRDefault="006E4FDF" w:rsidP="00B0432C">
      <w:pPr>
        <w:jc w:val="both"/>
        <w:rPr>
          <w:sz w:val="22"/>
          <w:szCs w:val="22"/>
        </w:rPr>
      </w:pPr>
    </w:p>
    <w:p w14:paraId="5E98345B" w14:textId="77777777" w:rsidR="006E4FDF" w:rsidRPr="003E5C8F" w:rsidRDefault="006E4FDF" w:rsidP="006E4FDF">
      <w:pPr>
        <w:widowControl w:val="0"/>
        <w:autoSpaceDE w:val="0"/>
        <w:autoSpaceDN w:val="0"/>
        <w:adjustRightInd w:val="0"/>
        <w:rPr>
          <w:i/>
          <w:sz w:val="22"/>
          <w:szCs w:val="22"/>
        </w:rPr>
      </w:pPr>
      <w:r w:rsidRPr="003E5C8F">
        <w:rPr>
          <w:i/>
          <w:sz w:val="22"/>
          <w:szCs w:val="22"/>
        </w:rPr>
        <w:t>Project Budget Discipline</w:t>
      </w:r>
    </w:p>
    <w:p w14:paraId="101D713C" w14:textId="77777777" w:rsidR="006E4FDF" w:rsidRPr="003E5C8F" w:rsidRDefault="006E4FDF" w:rsidP="00365AF4">
      <w:pPr>
        <w:widowControl w:val="0"/>
        <w:autoSpaceDE w:val="0"/>
        <w:autoSpaceDN w:val="0"/>
        <w:adjustRightInd w:val="0"/>
        <w:ind w:firstLine="720"/>
        <w:jc w:val="both"/>
        <w:rPr>
          <w:sz w:val="22"/>
          <w:szCs w:val="22"/>
        </w:rPr>
      </w:pPr>
      <w:r w:rsidRPr="003E5C8F">
        <w:rPr>
          <w:sz w:val="22"/>
          <w:szCs w:val="22"/>
        </w:rPr>
        <w:t>Regarding financial transparency and accountability, the finance staff in both US and Vietnam offices focus heavily on budget discipline, accuracy and transparency, all of which are enforced by yearly audits.</w:t>
      </w:r>
    </w:p>
    <w:p w14:paraId="548DCD08" w14:textId="77777777" w:rsidR="006E4FDF" w:rsidRPr="003E5C8F" w:rsidRDefault="006E4FDF" w:rsidP="006E4FDF">
      <w:pPr>
        <w:widowControl w:val="0"/>
        <w:autoSpaceDE w:val="0"/>
        <w:autoSpaceDN w:val="0"/>
        <w:adjustRightInd w:val="0"/>
        <w:jc w:val="both"/>
        <w:rPr>
          <w:bCs/>
          <w:sz w:val="22"/>
          <w:szCs w:val="22"/>
        </w:rPr>
      </w:pPr>
    </w:p>
    <w:p w14:paraId="5EFF9B9F" w14:textId="77777777" w:rsidR="006E4FDF" w:rsidRPr="003E5C8F" w:rsidRDefault="006E4FDF" w:rsidP="00365AF4">
      <w:pPr>
        <w:widowControl w:val="0"/>
        <w:autoSpaceDE w:val="0"/>
        <w:autoSpaceDN w:val="0"/>
        <w:adjustRightInd w:val="0"/>
        <w:ind w:firstLine="720"/>
        <w:jc w:val="both"/>
        <w:rPr>
          <w:sz w:val="22"/>
          <w:szCs w:val="22"/>
        </w:rPr>
      </w:pPr>
      <w:r w:rsidRPr="003E5C8F">
        <w:rPr>
          <w:bCs/>
          <w:sz w:val="22"/>
          <w:szCs w:val="22"/>
        </w:rPr>
        <w:t>Regarding budgetary discipline,</w:t>
      </w:r>
      <w:r w:rsidRPr="003E5C8F">
        <w:rPr>
          <w:sz w:val="22"/>
          <w:szCs w:val="22"/>
        </w:rPr>
        <w:t xml:space="preserve"> it is the job of the finance team to work with program staff to develop realistic budgets. The chief financial officer and country director for Vietnam facilitate this process by reviewing every line item of each budget request with project managers on a quarterly basis. EMW currently has 31 program budgets and 10 department budgets, and each is unique—from operating an orphanage to building a medical school. Yearly budget requests are evaluated based on historical data, available funding, program needs and a host of other factors. After the meetings, the individual budgets are compiled into a comprehensive budget which is presented to the Board Finance Committee and then ultimately to the entire Board for approval.</w:t>
      </w:r>
    </w:p>
    <w:p w14:paraId="0F021C4C" w14:textId="77777777" w:rsidR="006E4FDF" w:rsidRPr="003E5C8F" w:rsidRDefault="006E4FDF" w:rsidP="006E4FDF">
      <w:pPr>
        <w:widowControl w:val="0"/>
        <w:autoSpaceDE w:val="0"/>
        <w:autoSpaceDN w:val="0"/>
        <w:adjustRightInd w:val="0"/>
        <w:rPr>
          <w:b/>
          <w:bCs/>
          <w:sz w:val="22"/>
          <w:szCs w:val="22"/>
        </w:rPr>
      </w:pPr>
    </w:p>
    <w:p w14:paraId="5F045AE9" w14:textId="77777777" w:rsidR="006E4FDF" w:rsidRPr="003E5C8F" w:rsidRDefault="006E4FDF" w:rsidP="006E4FDF">
      <w:pPr>
        <w:widowControl w:val="0"/>
        <w:autoSpaceDE w:val="0"/>
        <w:autoSpaceDN w:val="0"/>
        <w:adjustRightInd w:val="0"/>
        <w:rPr>
          <w:bCs/>
          <w:i/>
          <w:sz w:val="22"/>
          <w:szCs w:val="22"/>
        </w:rPr>
      </w:pPr>
      <w:r w:rsidRPr="003E5C8F">
        <w:rPr>
          <w:bCs/>
          <w:i/>
          <w:sz w:val="22"/>
          <w:szCs w:val="22"/>
        </w:rPr>
        <w:t>Secure and Transparent Accounting System</w:t>
      </w:r>
    </w:p>
    <w:p w14:paraId="5540BBF9" w14:textId="77777777" w:rsidR="00365AF4" w:rsidRDefault="00365AF4" w:rsidP="00365AF4">
      <w:pPr>
        <w:widowControl w:val="0"/>
        <w:autoSpaceDE w:val="0"/>
        <w:autoSpaceDN w:val="0"/>
        <w:adjustRightInd w:val="0"/>
        <w:ind w:firstLine="720"/>
        <w:rPr>
          <w:sz w:val="22"/>
          <w:szCs w:val="22"/>
        </w:rPr>
      </w:pPr>
    </w:p>
    <w:p w14:paraId="45208B8A" w14:textId="0BDF9A7D" w:rsidR="006E4FDF" w:rsidRPr="003E5C8F" w:rsidRDefault="006E4FDF" w:rsidP="00365AF4">
      <w:pPr>
        <w:widowControl w:val="0"/>
        <w:autoSpaceDE w:val="0"/>
        <w:autoSpaceDN w:val="0"/>
        <w:adjustRightInd w:val="0"/>
        <w:ind w:firstLine="720"/>
        <w:rPr>
          <w:sz w:val="22"/>
          <w:szCs w:val="22"/>
        </w:rPr>
      </w:pPr>
      <w:r w:rsidRPr="003E5C8F">
        <w:rPr>
          <w:sz w:val="22"/>
          <w:szCs w:val="22"/>
        </w:rPr>
        <w:t>The finance team closes its books and reconciles all balance sheet accounts on a monthly basis. Managers receive monthly budget vs. actual summaries, along with a report for each budget detailing all transactions, allowing managers to accurately track their program budgets and avoid deficits at year</w:t>
      </w:r>
      <w:r w:rsidR="00215C87">
        <w:rPr>
          <w:sz w:val="22"/>
          <w:szCs w:val="22"/>
        </w:rPr>
        <w:t>’s</w:t>
      </w:r>
      <w:r w:rsidRPr="003E5C8F">
        <w:rPr>
          <w:sz w:val="22"/>
          <w:szCs w:val="22"/>
        </w:rPr>
        <w:t xml:space="preserve"> end. The accounting database is online and real time, providing managers the financial information they need to make decisions.</w:t>
      </w:r>
    </w:p>
    <w:p w14:paraId="0C960062" w14:textId="77777777" w:rsidR="006E4FDF" w:rsidRPr="003E5C8F" w:rsidRDefault="006E4FDF" w:rsidP="006E4FDF">
      <w:pPr>
        <w:widowControl w:val="0"/>
        <w:autoSpaceDE w:val="0"/>
        <w:autoSpaceDN w:val="0"/>
        <w:adjustRightInd w:val="0"/>
        <w:rPr>
          <w:sz w:val="22"/>
          <w:szCs w:val="22"/>
        </w:rPr>
      </w:pPr>
    </w:p>
    <w:p w14:paraId="71995B82" w14:textId="68B25E38" w:rsidR="006E4FDF" w:rsidRPr="003E5C8F" w:rsidRDefault="006E4FDF" w:rsidP="006E4FDF">
      <w:pPr>
        <w:widowControl w:val="0"/>
        <w:autoSpaceDE w:val="0"/>
        <w:autoSpaceDN w:val="0"/>
        <w:adjustRightInd w:val="0"/>
        <w:jc w:val="both"/>
        <w:rPr>
          <w:sz w:val="22"/>
          <w:szCs w:val="22"/>
        </w:rPr>
      </w:pPr>
      <w:r w:rsidRPr="003E5C8F">
        <w:rPr>
          <w:sz w:val="22"/>
          <w:szCs w:val="22"/>
        </w:rPr>
        <w:t>Back-up is required, and therefore readily available, for every transaction at EMW. Every number entered into our databas</w:t>
      </w:r>
      <w:r w:rsidR="00215C87">
        <w:rPr>
          <w:sz w:val="22"/>
          <w:szCs w:val="22"/>
        </w:rPr>
        <w:t>e is properly supported. If it is</w:t>
      </w:r>
      <w:r w:rsidRPr="003E5C8F">
        <w:rPr>
          <w:sz w:val="22"/>
          <w:szCs w:val="22"/>
        </w:rPr>
        <w:t xml:space="preserve"> a deposit, </w:t>
      </w:r>
      <w:r w:rsidR="00215C87">
        <w:rPr>
          <w:sz w:val="22"/>
          <w:szCs w:val="22"/>
        </w:rPr>
        <w:t>EMW</w:t>
      </w:r>
      <w:r w:rsidRPr="003E5C8F">
        <w:rPr>
          <w:sz w:val="22"/>
          <w:szCs w:val="22"/>
        </w:rPr>
        <w:t xml:space="preserve"> ha</w:t>
      </w:r>
      <w:r w:rsidR="00215C87">
        <w:rPr>
          <w:sz w:val="22"/>
          <w:szCs w:val="22"/>
        </w:rPr>
        <w:t>s</w:t>
      </w:r>
      <w:r w:rsidRPr="003E5C8F">
        <w:rPr>
          <w:sz w:val="22"/>
          <w:szCs w:val="22"/>
        </w:rPr>
        <w:t xml:space="preserve"> records of the deposit slip, check or </w:t>
      </w:r>
      <w:r w:rsidR="00215C87">
        <w:rPr>
          <w:sz w:val="22"/>
          <w:szCs w:val="22"/>
        </w:rPr>
        <w:t>grant agreement on file. If it is</w:t>
      </w:r>
      <w:r w:rsidRPr="003E5C8F">
        <w:rPr>
          <w:sz w:val="22"/>
          <w:szCs w:val="22"/>
        </w:rPr>
        <w:t xml:space="preserve"> a payment, </w:t>
      </w:r>
      <w:r w:rsidR="00215C87">
        <w:rPr>
          <w:sz w:val="22"/>
          <w:szCs w:val="22"/>
        </w:rPr>
        <w:t>EMW</w:t>
      </w:r>
      <w:r w:rsidRPr="003E5C8F">
        <w:rPr>
          <w:sz w:val="22"/>
          <w:szCs w:val="22"/>
        </w:rPr>
        <w:t xml:space="preserve"> </w:t>
      </w:r>
      <w:r w:rsidR="00215C87">
        <w:rPr>
          <w:sz w:val="22"/>
          <w:szCs w:val="22"/>
        </w:rPr>
        <w:t>has</w:t>
      </w:r>
      <w:r w:rsidRPr="003E5C8F">
        <w:rPr>
          <w:sz w:val="22"/>
          <w:szCs w:val="22"/>
        </w:rPr>
        <w:t xml:space="preserve"> records of the invoice or contract and documented approvals.</w:t>
      </w:r>
    </w:p>
    <w:p w14:paraId="23587500" w14:textId="77777777" w:rsidR="007C196E" w:rsidRPr="003E5C8F" w:rsidRDefault="007C196E">
      <w:pPr>
        <w:rPr>
          <w:i/>
          <w:sz w:val="22"/>
          <w:szCs w:val="22"/>
        </w:rPr>
      </w:pPr>
    </w:p>
    <w:p w14:paraId="138D54B3" w14:textId="77777777" w:rsidR="006E4FDF" w:rsidRPr="003E5C8F" w:rsidRDefault="006E4FDF" w:rsidP="006E4FDF">
      <w:pPr>
        <w:widowControl w:val="0"/>
        <w:autoSpaceDE w:val="0"/>
        <w:autoSpaceDN w:val="0"/>
        <w:adjustRightInd w:val="0"/>
        <w:rPr>
          <w:i/>
          <w:sz w:val="22"/>
          <w:szCs w:val="22"/>
        </w:rPr>
      </w:pPr>
      <w:r w:rsidRPr="003E5C8F">
        <w:rPr>
          <w:i/>
          <w:sz w:val="22"/>
          <w:szCs w:val="22"/>
        </w:rPr>
        <w:t>Independent Auditors</w:t>
      </w:r>
    </w:p>
    <w:p w14:paraId="2F7828E2" w14:textId="77777777" w:rsidR="00365AF4" w:rsidRDefault="00365AF4" w:rsidP="006E4FDF">
      <w:pPr>
        <w:widowControl w:val="0"/>
        <w:autoSpaceDE w:val="0"/>
        <w:autoSpaceDN w:val="0"/>
        <w:adjustRightInd w:val="0"/>
        <w:jc w:val="both"/>
        <w:rPr>
          <w:sz w:val="22"/>
          <w:szCs w:val="22"/>
        </w:rPr>
      </w:pPr>
    </w:p>
    <w:p w14:paraId="2FF70662" w14:textId="383C3DB4" w:rsidR="006E4FDF" w:rsidRPr="003E5C8F" w:rsidRDefault="006E4FDF" w:rsidP="00365AF4">
      <w:pPr>
        <w:widowControl w:val="0"/>
        <w:autoSpaceDE w:val="0"/>
        <w:autoSpaceDN w:val="0"/>
        <w:adjustRightInd w:val="0"/>
        <w:ind w:firstLine="720"/>
        <w:jc w:val="both"/>
        <w:rPr>
          <w:sz w:val="22"/>
          <w:szCs w:val="22"/>
        </w:rPr>
      </w:pPr>
      <w:r w:rsidRPr="003E5C8F">
        <w:rPr>
          <w:sz w:val="22"/>
          <w:szCs w:val="22"/>
        </w:rPr>
        <w:t xml:space="preserve">The effectiveness of these accounting practices is evaluated by several yearly audits.  EMW's accounting in Vietnam is audited by Ernst and Young and its financial statements are audited in the United States by PMB </w:t>
      </w:r>
      <w:proofErr w:type="spellStart"/>
      <w:r w:rsidRPr="003E5C8F">
        <w:rPr>
          <w:sz w:val="22"/>
          <w:szCs w:val="22"/>
        </w:rPr>
        <w:t>Helin</w:t>
      </w:r>
      <w:proofErr w:type="spellEnd"/>
      <w:r w:rsidRPr="003E5C8F">
        <w:rPr>
          <w:sz w:val="22"/>
          <w:szCs w:val="22"/>
        </w:rPr>
        <w:t xml:space="preserve"> Donavan</w:t>
      </w:r>
      <w:r w:rsidR="00215C87">
        <w:rPr>
          <w:sz w:val="22"/>
          <w:szCs w:val="22"/>
        </w:rPr>
        <w:t>,</w:t>
      </w:r>
      <w:r w:rsidRPr="003E5C8F">
        <w:rPr>
          <w:sz w:val="22"/>
          <w:szCs w:val="22"/>
        </w:rPr>
        <w:t xml:space="preserve"> LLP. Additional audits include those stipulated by certain grantors like the US government and the World Bank, as well as a Human Resources audit to evaluate our HR policies and practices.  Audit reports, annual reports and financials are available for download on the EMW website </w:t>
      </w:r>
      <w:hyperlink r:id="rId16" w:history="1">
        <w:r w:rsidRPr="003E5C8F">
          <w:rPr>
            <w:rStyle w:val="Hyperlink"/>
            <w:sz w:val="22"/>
            <w:szCs w:val="22"/>
          </w:rPr>
          <w:t>www.eastmeetswest.org</w:t>
        </w:r>
      </w:hyperlink>
      <w:r w:rsidRPr="003E5C8F">
        <w:rPr>
          <w:sz w:val="22"/>
          <w:szCs w:val="22"/>
        </w:rPr>
        <w:t>.</w:t>
      </w:r>
    </w:p>
    <w:p w14:paraId="32BCAFA6" w14:textId="77777777" w:rsidR="006E4FDF" w:rsidRPr="003E5C8F" w:rsidRDefault="006E4FDF" w:rsidP="006E4FDF">
      <w:pPr>
        <w:widowControl w:val="0"/>
        <w:autoSpaceDE w:val="0"/>
        <w:autoSpaceDN w:val="0"/>
        <w:adjustRightInd w:val="0"/>
        <w:rPr>
          <w:sz w:val="22"/>
          <w:szCs w:val="22"/>
        </w:rPr>
      </w:pPr>
    </w:p>
    <w:p w14:paraId="0BAB492D" w14:textId="77777777" w:rsidR="006E4FDF" w:rsidRPr="003E5C8F" w:rsidRDefault="006E4FDF" w:rsidP="006E4FDF">
      <w:pPr>
        <w:widowControl w:val="0"/>
        <w:autoSpaceDE w:val="0"/>
        <w:autoSpaceDN w:val="0"/>
        <w:adjustRightInd w:val="0"/>
        <w:rPr>
          <w:i/>
          <w:sz w:val="22"/>
          <w:szCs w:val="22"/>
        </w:rPr>
      </w:pPr>
      <w:r w:rsidRPr="003E5C8F">
        <w:rPr>
          <w:i/>
          <w:sz w:val="22"/>
          <w:szCs w:val="22"/>
        </w:rPr>
        <w:t>Independent Ratings of EMW’s Accountability</w:t>
      </w:r>
    </w:p>
    <w:p w14:paraId="2FC52F62" w14:textId="77777777" w:rsidR="00365AF4" w:rsidRDefault="00365AF4" w:rsidP="00365AF4">
      <w:pPr>
        <w:ind w:firstLine="720"/>
        <w:jc w:val="both"/>
        <w:rPr>
          <w:sz w:val="22"/>
          <w:szCs w:val="22"/>
        </w:rPr>
      </w:pPr>
    </w:p>
    <w:p w14:paraId="4522FCF8" w14:textId="77777777" w:rsidR="006E4FDF" w:rsidRPr="003E5C8F" w:rsidRDefault="006E4FDF" w:rsidP="00365AF4">
      <w:pPr>
        <w:ind w:firstLine="720"/>
        <w:jc w:val="both"/>
        <w:rPr>
          <w:sz w:val="22"/>
          <w:szCs w:val="22"/>
        </w:rPr>
      </w:pPr>
      <w:r w:rsidRPr="003E5C8F">
        <w:rPr>
          <w:sz w:val="22"/>
          <w:szCs w:val="22"/>
        </w:rPr>
        <w:t xml:space="preserve">A few of our recent results exemplify EMW’s financial strength. The results of our 2010 consolidated audit revealed that </w:t>
      </w:r>
      <w:r w:rsidRPr="003E5C8F">
        <w:rPr>
          <w:b/>
          <w:bCs/>
          <w:sz w:val="22"/>
          <w:szCs w:val="22"/>
        </w:rPr>
        <w:t>94% of every dollar donated was spent on programs</w:t>
      </w:r>
      <w:r w:rsidRPr="003E5C8F">
        <w:rPr>
          <w:sz w:val="22"/>
          <w:szCs w:val="22"/>
        </w:rPr>
        <w:t xml:space="preserve"> (an increase from our already impressive 93% overhead rate in 2009.  In 2010 and 2011, the nonprofit rating organization </w:t>
      </w:r>
      <w:r w:rsidRPr="003E5C8F">
        <w:rPr>
          <w:bCs/>
          <w:sz w:val="22"/>
          <w:szCs w:val="22"/>
        </w:rPr>
        <w:t>Charity Navigator gave EMW the highest possible rating</w:t>
      </w:r>
      <w:r w:rsidRPr="003E5C8F">
        <w:rPr>
          <w:sz w:val="22"/>
          <w:szCs w:val="22"/>
        </w:rPr>
        <w:t>—four out of four stars.  Additionally, the World Bank carried out an evaluation of EMW’s financial management in 2007, which was updated in 2009.</w:t>
      </w:r>
    </w:p>
    <w:p w14:paraId="6A4F83B8" w14:textId="77777777" w:rsidR="00384BE2" w:rsidRPr="003E5C8F" w:rsidRDefault="00384BE2"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2"/>
          <w:szCs w:val="22"/>
        </w:rPr>
      </w:pPr>
    </w:p>
    <w:p w14:paraId="077D0A94" w14:textId="53AE939F" w:rsidR="005B42F6" w:rsidRPr="003E5C8F" w:rsidRDefault="00365AF4" w:rsidP="00365AF4">
      <w:pPr>
        <w:pStyle w:val="Heading2"/>
      </w:pPr>
      <w:bookmarkStart w:id="6" w:name="_Toc172030749"/>
      <w:r>
        <w:t>4</w:t>
      </w:r>
      <w:r w:rsidR="005B42F6" w:rsidRPr="003E5C8F">
        <w:t xml:space="preserve"> </w:t>
      </w:r>
      <w:r w:rsidR="001066A7">
        <w:tab/>
      </w:r>
      <w:r w:rsidR="005B42F6" w:rsidRPr="003E5C8F">
        <w:t xml:space="preserve">Project </w:t>
      </w:r>
      <w:r w:rsidR="009020E6">
        <w:t>M</w:t>
      </w:r>
      <w:r w:rsidR="005B42F6" w:rsidRPr="003E5C8F">
        <w:t xml:space="preserve">anagement </w:t>
      </w:r>
      <w:r w:rsidR="009020E6">
        <w:t>E</w:t>
      </w:r>
      <w:r w:rsidR="005B42F6" w:rsidRPr="003E5C8F">
        <w:t xml:space="preserve">xperience, </w:t>
      </w:r>
      <w:r w:rsidR="009020E6">
        <w:t>M</w:t>
      </w:r>
      <w:r w:rsidR="005B42F6" w:rsidRPr="003E5C8F">
        <w:t xml:space="preserve">onitoring and </w:t>
      </w:r>
      <w:r w:rsidR="009020E6">
        <w:t>E</w:t>
      </w:r>
      <w:r w:rsidR="005B42F6" w:rsidRPr="003E5C8F">
        <w:t xml:space="preserve">valuation </w:t>
      </w:r>
      <w:r w:rsidR="009020E6">
        <w:t>C</w:t>
      </w:r>
      <w:r w:rsidR="005B42F6" w:rsidRPr="003E5C8F">
        <w:t>apacity</w:t>
      </w:r>
      <w:bookmarkEnd w:id="6"/>
    </w:p>
    <w:p w14:paraId="630B9659" w14:textId="77777777" w:rsidR="00533962" w:rsidRPr="003E5C8F" w:rsidRDefault="00533962"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14:paraId="4E93B237" w14:textId="05BD8680" w:rsidR="00B0432C" w:rsidRPr="003E5C8F" w:rsidRDefault="00365AF4" w:rsidP="00B04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ab/>
      </w:r>
      <w:r w:rsidR="00B0432C" w:rsidRPr="003E5C8F">
        <w:rPr>
          <w:sz w:val="22"/>
          <w:szCs w:val="22"/>
        </w:rPr>
        <w:t xml:space="preserve">EMW has over 23 years of project management experience for projects ranging from 100,000 USD to over </w:t>
      </w:r>
      <w:r w:rsidR="00C00623" w:rsidRPr="003E5C8F">
        <w:rPr>
          <w:sz w:val="22"/>
          <w:szCs w:val="22"/>
        </w:rPr>
        <w:t>$</w:t>
      </w:r>
      <w:r w:rsidR="00FC0C9A" w:rsidRPr="003E5C8F">
        <w:rPr>
          <w:sz w:val="22"/>
          <w:szCs w:val="22"/>
        </w:rPr>
        <w:t>10</w:t>
      </w:r>
      <w:r w:rsidR="00C00623" w:rsidRPr="003E5C8F">
        <w:rPr>
          <w:sz w:val="22"/>
          <w:szCs w:val="22"/>
        </w:rPr>
        <w:t>million USD in various sectors including building and construction, clean water and sanitation as well as other areas in health and education.</w:t>
      </w:r>
    </w:p>
    <w:p w14:paraId="1328D8AD" w14:textId="77777777" w:rsidR="00C00623" w:rsidRPr="003E5C8F" w:rsidRDefault="00C00623" w:rsidP="00B043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10D1F85" w14:textId="52DD8CE7" w:rsidR="004A688A" w:rsidRDefault="00365AF4" w:rsidP="009A7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sz w:val="22"/>
          <w:szCs w:val="22"/>
        </w:rPr>
        <w:tab/>
      </w:r>
      <w:r w:rsidR="00C00623" w:rsidRPr="003E5C8F">
        <w:rPr>
          <w:sz w:val="22"/>
          <w:szCs w:val="22"/>
        </w:rPr>
        <w:t>In each project, EMW has developed monitoring and evaluation systems and institutional capacity to ensure program outputs and outcomes are well aligned with project goals and objectives.  In nearly $10million USD project funding with the World Bank funding, an Independent Verification Agent is built into the monitoring and evaluation of the project where EMW staff have gained invaluable experience working within the OBA framework and adopted and developed monitoring tools for project management</w:t>
      </w:r>
      <w:r w:rsidR="00EA245F" w:rsidRPr="003E5C8F">
        <w:rPr>
          <w:sz w:val="22"/>
          <w:szCs w:val="22"/>
        </w:rPr>
        <w:t>. Per this proposal, EMW’s Senior Operations Director, Mr. James Dien Bui, has more than 12 years of experience in developing monitoring and evaluation tools</w:t>
      </w:r>
      <w:r w:rsidR="009A70EF">
        <w:rPr>
          <w:sz w:val="22"/>
          <w:szCs w:val="22"/>
        </w:rPr>
        <w:t xml:space="preserve"> for projects totaling over $20m</w:t>
      </w:r>
      <w:r w:rsidR="00EA245F" w:rsidRPr="003E5C8F">
        <w:rPr>
          <w:sz w:val="22"/>
          <w:szCs w:val="22"/>
        </w:rPr>
        <w:t>illion USD.</w:t>
      </w:r>
    </w:p>
    <w:p w14:paraId="6376A0AF" w14:textId="77777777" w:rsidR="00B369B7" w:rsidRPr="003E5C8F" w:rsidRDefault="00B369B7" w:rsidP="005B4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2"/>
          <w:szCs w:val="22"/>
        </w:rPr>
      </w:pPr>
    </w:p>
    <w:p w14:paraId="7C4C0E04" w14:textId="48D45241" w:rsidR="000352B1" w:rsidRPr="00365AF4" w:rsidRDefault="000352B1">
      <w:pPr>
        <w:rPr>
          <w:rFonts w:cs="Helvetica"/>
          <w:color w:val="000000"/>
          <w:sz w:val="22"/>
          <w:szCs w:val="22"/>
        </w:rPr>
      </w:pPr>
    </w:p>
    <w:sectPr w:rsidR="000352B1" w:rsidRPr="00365AF4" w:rsidSect="00BE3246">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9C704" w14:textId="77777777" w:rsidR="00365AF4" w:rsidRDefault="00365AF4" w:rsidP="00365AF4">
      <w:r>
        <w:separator/>
      </w:r>
    </w:p>
  </w:endnote>
  <w:endnote w:type="continuationSeparator" w:id="0">
    <w:p w14:paraId="243CDB45" w14:textId="77777777" w:rsidR="00365AF4" w:rsidRDefault="00365AF4" w:rsidP="0036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9B7C" w14:textId="77777777" w:rsidR="00365AF4" w:rsidRDefault="00365AF4" w:rsidP="00365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E24DB9" w14:textId="77777777" w:rsidR="00365AF4" w:rsidRDefault="00365AF4" w:rsidP="00365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1E19B" w14:textId="77777777" w:rsidR="00365AF4" w:rsidRDefault="00365AF4" w:rsidP="00365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0DEB">
      <w:rPr>
        <w:rStyle w:val="PageNumber"/>
        <w:noProof/>
      </w:rPr>
      <w:t>8</w:t>
    </w:r>
    <w:r>
      <w:rPr>
        <w:rStyle w:val="PageNumber"/>
      </w:rPr>
      <w:fldChar w:fldCharType="end"/>
    </w:r>
  </w:p>
  <w:p w14:paraId="6C7093C5" w14:textId="77777777" w:rsidR="00365AF4" w:rsidRDefault="00365AF4" w:rsidP="00365A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56E9D" w14:textId="77777777" w:rsidR="00365AF4" w:rsidRDefault="00365AF4" w:rsidP="00365AF4">
      <w:r>
        <w:separator/>
      </w:r>
    </w:p>
  </w:footnote>
  <w:footnote w:type="continuationSeparator" w:id="0">
    <w:p w14:paraId="31AEDD00" w14:textId="77777777" w:rsidR="00365AF4" w:rsidRDefault="00365AF4" w:rsidP="0036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EE5"/>
    <w:multiLevelType w:val="hybridMultilevel"/>
    <w:tmpl w:val="EB221DB2"/>
    <w:lvl w:ilvl="0" w:tplc="34CCC7F8">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24602"/>
    <w:multiLevelType w:val="hybridMultilevel"/>
    <w:tmpl w:val="01D0D816"/>
    <w:lvl w:ilvl="0" w:tplc="804090D6">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F0B36"/>
    <w:multiLevelType w:val="hybridMultilevel"/>
    <w:tmpl w:val="27182144"/>
    <w:lvl w:ilvl="0" w:tplc="1E6459B6">
      <w:start w:val="6"/>
      <w:numFmt w:val="bullet"/>
      <w:lvlText w:val=""/>
      <w:lvlJc w:val="left"/>
      <w:pPr>
        <w:ind w:left="720" w:hanging="360"/>
      </w:pPr>
      <w:rPr>
        <w:rFonts w:ascii="Symbol" w:eastAsiaTheme="minorEastAsia" w:hAnsi="Symbol"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74596"/>
    <w:multiLevelType w:val="hybridMultilevel"/>
    <w:tmpl w:val="0B8A28EE"/>
    <w:lvl w:ilvl="0" w:tplc="92D20D1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2715D"/>
    <w:multiLevelType w:val="hybridMultilevel"/>
    <w:tmpl w:val="E2D235B2"/>
    <w:lvl w:ilvl="0" w:tplc="76922A9A">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55"/>
    <w:rsid w:val="00003744"/>
    <w:rsid w:val="00021948"/>
    <w:rsid w:val="000245D9"/>
    <w:rsid w:val="000352B1"/>
    <w:rsid w:val="00052AFF"/>
    <w:rsid w:val="00073B1F"/>
    <w:rsid w:val="000A1F27"/>
    <w:rsid w:val="000C1628"/>
    <w:rsid w:val="000D5D46"/>
    <w:rsid w:val="001066A7"/>
    <w:rsid w:val="00132A8B"/>
    <w:rsid w:val="00135C1F"/>
    <w:rsid w:val="00142634"/>
    <w:rsid w:val="00162FE8"/>
    <w:rsid w:val="00186C0E"/>
    <w:rsid w:val="00187879"/>
    <w:rsid w:val="002121FB"/>
    <w:rsid w:val="00215C87"/>
    <w:rsid w:val="00263DF3"/>
    <w:rsid w:val="002B072A"/>
    <w:rsid w:val="002D23BD"/>
    <w:rsid w:val="003012F5"/>
    <w:rsid w:val="00303613"/>
    <w:rsid w:val="00365AF4"/>
    <w:rsid w:val="00384BE2"/>
    <w:rsid w:val="003A6FFD"/>
    <w:rsid w:val="003E5C8F"/>
    <w:rsid w:val="00430511"/>
    <w:rsid w:val="00462D3F"/>
    <w:rsid w:val="004A688A"/>
    <w:rsid w:val="004B29CB"/>
    <w:rsid w:val="004E1CA6"/>
    <w:rsid w:val="004F6FD0"/>
    <w:rsid w:val="00522E30"/>
    <w:rsid w:val="00533962"/>
    <w:rsid w:val="00546E84"/>
    <w:rsid w:val="005625BA"/>
    <w:rsid w:val="00592E9B"/>
    <w:rsid w:val="0059726F"/>
    <w:rsid w:val="005B42F6"/>
    <w:rsid w:val="005B5ABE"/>
    <w:rsid w:val="0061622F"/>
    <w:rsid w:val="00676F74"/>
    <w:rsid w:val="006861F4"/>
    <w:rsid w:val="006A3027"/>
    <w:rsid w:val="006E4FDF"/>
    <w:rsid w:val="006F27FF"/>
    <w:rsid w:val="0072368A"/>
    <w:rsid w:val="00746883"/>
    <w:rsid w:val="007A21B9"/>
    <w:rsid w:val="007C196E"/>
    <w:rsid w:val="007E2197"/>
    <w:rsid w:val="008179F4"/>
    <w:rsid w:val="008872F3"/>
    <w:rsid w:val="00894065"/>
    <w:rsid w:val="008E6468"/>
    <w:rsid w:val="009020E6"/>
    <w:rsid w:val="0094302D"/>
    <w:rsid w:val="00944945"/>
    <w:rsid w:val="0099139D"/>
    <w:rsid w:val="009967B2"/>
    <w:rsid w:val="009967E3"/>
    <w:rsid w:val="009A70EF"/>
    <w:rsid w:val="009B4409"/>
    <w:rsid w:val="009C0B38"/>
    <w:rsid w:val="00A04133"/>
    <w:rsid w:val="00A4533C"/>
    <w:rsid w:val="00A67A90"/>
    <w:rsid w:val="00A90E11"/>
    <w:rsid w:val="00A94F3D"/>
    <w:rsid w:val="00B0432C"/>
    <w:rsid w:val="00B32E51"/>
    <w:rsid w:val="00B369B7"/>
    <w:rsid w:val="00B401EB"/>
    <w:rsid w:val="00B40340"/>
    <w:rsid w:val="00BB5155"/>
    <w:rsid w:val="00BE3246"/>
    <w:rsid w:val="00BE7049"/>
    <w:rsid w:val="00BF0BEC"/>
    <w:rsid w:val="00C00623"/>
    <w:rsid w:val="00C06A7A"/>
    <w:rsid w:val="00C110C8"/>
    <w:rsid w:val="00C378BA"/>
    <w:rsid w:val="00C61CBC"/>
    <w:rsid w:val="00C650D0"/>
    <w:rsid w:val="00C85E9F"/>
    <w:rsid w:val="00CE1538"/>
    <w:rsid w:val="00D0641E"/>
    <w:rsid w:val="00D456D9"/>
    <w:rsid w:val="00D80729"/>
    <w:rsid w:val="00DD1955"/>
    <w:rsid w:val="00DD60C8"/>
    <w:rsid w:val="00DE369A"/>
    <w:rsid w:val="00DF0423"/>
    <w:rsid w:val="00E078D0"/>
    <w:rsid w:val="00E12A6A"/>
    <w:rsid w:val="00E134CA"/>
    <w:rsid w:val="00E13A45"/>
    <w:rsid w:val="00E23D2D"/>
    <w:rsid w:val="00E378DA"/>
    <w:rsid w:val="00EA245F"/>
    <w:rsid w:val="00EB415A"/>
    <w:rsid w:val="00F24485"/>
    <w:rsid w:val="00F60DEB"/>
    <w:rsid w:val="00F80B4B"/>
    <w:rsid w:val="00F8491E"/>
    <w:rsid w:val="00F96CFA"/>
    <w:rsid w:val="00FC0C9A"/>
    <w:rsid w:val="00FC2B0E"/>
    <w:rsid w:val="00FE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49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A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0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55"/>
    <w:pPr>
      <w:ind w:left="720"/>
      <w:contextualSpacing/>
    </w:pPr>
  </w:style>
  <w:style w:type="character" w:styleId="CommentReference">
    <w:name w:val="annotation reference"/>
    <w:basedOn w:val="DefaultParagraphFont"/>
    <w:uiPriority w:val="99"/>
    <w:semiHidden/>
    <w:unhideWhenUsed/>
    <w:rsid w:val="00BB5155"/>
    <w:rPr>
      <w:sz w:val="18"/>
      <w:szCs w:val="18"/>
    </w:rPr>
  </w:style>
  <w:style w:type="paragraph" w:styleId="CommentText">
    <w:name w:val="annotation text"/>
    <w:basedOn w:val="Normal"/>
    <w:link w:val="CommentTextChar"/>
    <w:uiPriority w:val="99"/>
    <w:semiHidden/>
    <w:unhideWhenUsed/>
    <w:rsid w:val="00BB5155"/>
  </w:style>
  <w:style w:type="character" w:customStyle="1" w:styleId="CommentTextChar">
    <w:name w:val="Comment Text Char"/>
    <w:basedOn w:val="DefaultParagraphFont"/>
    <w:link w:val="CommentText"/>
    <w:uiPriority w:val="99"/>
    <w:semiHidden/>
    <w:rsid w:val="00BB5155"/>
  </w:style>
  <w:style w:type="paragraph" w:styleId="CommentSubject">
    <w:name w:val="annotation subject"/>
    <w:basedOn w:val="CommentText"/>
    <w:next w:val="CommentText"/>
    <w:link w:val="CommentSubjectChar"/>
    <w:uiPriority w:val="99"/>
    <w:semiHidden/>
    <w:unhideWhenUsed/>
    <w:rsid w:val="00BB5155"/>
    <w:rPr>
      <w:b/>
      <w:bCs/>
      <w:sz w:val="20"/>
      <w:szCs w:val="20"/>
    </w:rPr>
  </w:style>
  <w:style w:type="character" w:customStyle="1" w:styleId="CommentSubjectChar">
    <w:name w:val="Comment Subject Char"/>
    <w:basedOn w:val="CommentTextChar"/>
    <w:link w:val="CommentSubject"/>
    <w:uiPriority w:val="99"/>
    <w:semiHidden/>
    <w:rsid w:val="00BB5155"/>
    <w:rPr>
      <w:b/>
      <w:bCs/>
      <w:sz w:val="20"/>
      <w:szCs w:val="20"/>
    </w:rPr>
  </w:style>
  <w:style w:type="paragraph" w:styleId="BalloonText">
    <w:name w:val="Balloon Text"/>
    <w:basedOn w:val="Normal"/>
    <w:link w:val="BalloonTextChar"/>
    <w:uiPriority w:val="99"/>
    <w:semiHidden/>
    <w:unhideWhenUsed/>
    <w:rsid w:val="00BB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155"/>
    <w:rPr>
      <w:rFonts w:ascii="Lucida Grande" w:hAnsi="Lucida Grande" w:cs="Lucida Grande"/>
      <w:sz w:val="18"/>
      <w:szCs w:val="18"/>
    </w:rPr>
  </w:style>
  <w:style w:type="table" w:styleId="TableGrid">
    <w:name w:val="Table Grid"/>
    <w:basedOn w:val="TableNormal"/>
    <w:uiPriority w:val="59"/>
    <w:rsid w:val="005B4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1CA6"/>
    <w:rPr>
      <w:color w:val="0000FF" w:themeColor="hyperlink"/>
      <w:u w:val="single"/>
    </w:rPr>
  </w:style>
  <w:style w:type="character" w:customStyle="1" w:styleId="highlightedsearchterm">
    <w:name w:val="highlightedsearchterm"/>
    <w:basedOn w:val="DefaultParagraphFont"/>
    <w:rsid w:val="004E1CA6"/>
  </w:style>
  <w:style w:type="paragraph" w:styleId="NormalWeb">
    <w:name w:val="Normal (Web)"/>
    <w:basedOn w:val="Normal"/>
    <w:uiPriority w:val="99"/>
    <w:unhideWhenUsed/>
    <w:rsid w:val="004B29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2D3F"/>
    <w:rPr>
      <w:b/>
      <w:bCs/>
    </w:rPr>
  </w:style>
  <w:style w:type="paragraph" w:styleId="Footer">
    <w:name w:val="footer"/>
    <w:basedOn w:val="Normal"/>
    <w:link w:val="FooterChar"/>
    <w:uiPriority w:val="99"/>
    <w:unhideWhenUsed/>
    <w:rsid w:val="00365AF4"/>
    <w:pPr>
      <w:tabs>
        <w:tab w:val="center" w:pos="4320"/>
        <w:tab w:val="right" w:pos="8640"/>
      </w:tabs>
    </w:pPr>
  </w:style>
  <w:style w:type="character" w:customStyle="1" w:styleId="FooterChar">
    <w:name w:val="Footer Char"/>
    <w:basedOn w:val="DefaultParagraphFont"/>
    <w:link w:val="Footer"/>
    <w:uiPriority w:val="99"/>
    <w:rsid w:val="00365AF4"/>
  </w:style>
  <w:style w:type="character" w:styleId="PageNumber">
    <w:name w:val="page number"/>
    <w:basedOn w:val="DefaultParagraphFont"/>
    <w:uiPriority w:val="99"/>
    <w:semiHidden/>
    <w:unhideWhenUsed/>
    <w:rsid w:val="00365AF4"/>
  </w:style>
  <w:style w:type="character" w:customStyle="1" w:styleId="Heading1Char">
    <w:name w:val="Heading 1 Char"/>
    <w:basedOn w:val="DefaultParagraphFont"/>
    <w:link w:val="Heading1"/>
    <w:uiPriority w:val="9"/>
    <w:rsid w:val="00365AF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5AF4"/>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65AF4"/>
    <w:pPr>
      <w:spacing w:before="120"/>
    </w:pPr>
    <w:rPr>
      <w:b/>
    </w:rPr>
  </w:style>
  <w:style w:type="paragraph" w:styleId="TOC2">
    <w:name w:val="toc 2"/>
    <w:basedOn w:val="Normal"/>
    <w:next w:val="Normal"/>
    <w:autoRedefine/>
    <w:uiPriority w:val="39"/>
    <w:unhideWhenUsed/>
    <w:rsid w:val="00365AF4"/>
    <w:pPr>
      <w:ind w:left="240"/>
    </w:pPr>
    <w:rPr>
      <w:b/>
      <w:sz w:val="22"/>
      <w:szCs w:val="22"/>
    </w:rPr>
  </w:style>
  <w:style w:type="paragraph" w:styleId="TOC3">
    <w:name w:val="toc 3"/>
    <w:basedOn w:val="Normal"/>
    <w:next w:val="Normal"/>
    <w:autoRedefine/>
    <w:uiPriority w:val="39"/>
    <w:unhideWhenUsed/>
    <w:rsid w:val="00365AF4"/>
    <w:pPr>
      <w:ind w:left="480"/>
    </w:pPr>
    <w:rPr>
      <w:sz w:val="22"/>
      <w:szCs w:val="22"/>
    </w:rPr>
  </w:style>
  <w:style w:type="paragraph" w:styleId="TOC4">
    <w:name w:val="toc 4"/>
    <w:basedOn w:val="Normal"/>
    <w:next w:val="Normal"/>
    <w:autoRedefine/>
    <w:uiPriority w:val="39"/>
    <w:semiHidden/>
    <w:unhideWhenUsed/>
    <w:rsid w:val="00365AF4"/>
    <w:pPr>
      <w:ind w:left="720"/>
    </w:pPr>
    <w:rPr>
      <w:sz w:val="20"/>
      <w:szCs w:val="20"/>
    </w:rPr>
  </w:style>
  <w:style w:type="paragraph" w:styleId="TOC5">
    <w:name w:val="toc 5"/>
    <w:basedOn w:val="Normal"/>
    <w:next w:val="Normal"/>
    <w:autoRedefine/>
    <w:uiPriority w:val="39"/>
    <w:semiHidden/>
    <w:unhideWhenUsed/>
    <w:rsid w:val="00365AF4"/>
    <w:pPr>
      <w:ind w:left="960"/>
    </w:pPr>
    <w:rPr>
      <w:sz w:val="20"/>
      <w:szCs w:val="20"/>
    </w:rPr>
  </w:style>
  <w:style w:type="paragraph" w:styleId="TOC6">
    <w:name w:val="toc 6"/>
    <w:basedOn w:val="Normal"/>
    <w:next w:val="Normal"/>
    <w:autoRedefine/>
    <w:uiPriority w:val="39"/>
    <w:semiHidden/>
    <w:unhideWhenUsed/>
    <w:rsid w:val="00365AF4"/>
    <w:pPr>
      <w:ind w:left="1200"/>
    </w:pPr>
    <w:rPr>
      <w:sz w:val="20"/>
      <w:szCs w:val="20"/>
    </w:rPr>
  </w:style>
  <w:style w:type="paragraph" w:styleId="TOC7">
    <w:name w:val="toc 7"/>
    <w:basedOn w:val="Normal"/>
    <w:next w:val="Normal"/>
    <w:autoRedefine/>
    <w:uiPriority w:val="39"/>
    <w:semiHidden/>
    <w:unhideWhenUsed/>
    <w:rsid w:val="00365AF4"/>
    <w:pPr>
      <w:ind w:left="1440"/>
    </w:pPr>
    <w:rPr>
      <w:sz w:val="20"/>
      <w:szCs w:val="20"/>
    </w:rPr>
  </w:style>
  <w:style w:type="paragraph" w:styleId="TOC8">
    <w:name w:val="toc 8"/>
    <w:basedOn w:val="Normal"/>
    <w:next w:val="Normal"/>
    <w:autoRedefine/>
    <w:uiPriority w:val="39"/>
    <w:semiHidden/>
    <w:unhideWhenUsed/>
    <w:rsid w:val="00365AF4"/>
    <w:pPr>
      <w:ind w:left="1680"/>
    </w:pPr>
    <w:rPr>
      <w:sz w:val="20"/>
      <w:szCs w:val="20"/>
    </w:rPr>
  </w:style>
  <w:style w:type="paragraph" w:styleId="TOC9">
    <w:name w:val="toc 9"/>
    <w:basedOn w:val="Normal"/>
    <w:next w:val="Normal"/>
    <w:autoRedefine/>
    <w:uiPriority w:val="39"/>
    <w:semiHidden/>
    <w:unhideWhenUsed/>
    <w:rsid w:val="00365AF4"/>
    <w:pPr>
      <w:ind w:left="1920"/>
    </w:pPr>
    <w:rPr>
      <w:sz w:val="20"/>
      <w:szCs w:val="20"/>
    </w:rPr>
  </w:style>
  <w:style w:type="character" w:customStyle="1" w:styleId="Heading2Char">
    <w:name w:val="Heading 2 Char"/>
    <w:basedOn w:val="DefaultParagraphFont"/>
    <w:link w:val="Heading2"/>
    <w:uiPriority w:val="9"/>
    <w:rsid w:val="00365A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0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5AF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30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155"/>
    <w:pPr>
      <w:ind w:left="720"/>
      <w:contextualSpacing/>
    </w:pPr>
  </w:style>
  <w:style w:type="character" w:styleId="CommentReference">
    <w:name w:val="annotation reference"/>
    <w:basedOn w:val="DefaultParagraphFont"/>
    <w:uiPriority w:val="99"/>
    <w:semiHidden/>
    <w:unhideWhenUsed/>
    <w:rsid w:val="00BB5155"/>
    <w:rPr>
      <w:sz w:val="18"/>
      <w:szCs w:val="18"/>
    </w:rPr>
  </w:style>
  <w:style w:type="paragraph" w:styleId="CommentText">
    <w:name w:val="annotation text"/>
    <w:basedOn w:val="Normal"/>
    <w:link w:val="CommentTextChar"/>
    <w:uiPriority w:val="99"/>
    <w:semiHidden/>
    <w:unhideWhenUsed/>
    <w:rsid w:val="00BB5155"/>
  </w:style>
  <w:style w:type="character" w:customStyle="1" w:styleId="CommentTextChar">
    <w:name w:val="Comment Text Char"/>
    <w:basedOn w:val="DefaultParagraphFont"/>
    <w:link w:val="CommentText"/>
    <w:uiPriority w:val="99"/>
    <w:semiHidden/>
    <w:rsid w:val="00BB5155"/>
  </w:style>
  <w:style w:type="paragraph" w:styleId="CommentSubject">
    <w:name w:val="annotation subject"/>
    <w:basedOn w:val="CommentText"/>
    <w:next w:val="CommentText"/>
    <w:link w:val="CommentSubjectChar"/>
    <w:uiPriority w:val="99"/>
    <w:semiHidden/>
    <w:unhideWhenUsed/>
    <w:rsid w:val="00BB5155"/>
    <w:rPr>
      <w:b/>
      <w:bCs/>
      <w:sz w:val="20"/>
      <w:szCs w:val="20"/>
    </w:rPr>
  </w:style>
  <w:style w:type="character" w:customStyle="1" w:styleId="CommentSubjectChar">
    <w:name w:val="Comment Subject Char"/>
    <w:basedOn w:val="CommentTextChar"/>
    <w:link w:val="CommentSubject"/>
    <w:uiPriority w:val="99"/>
    <w:semiHidden/>
    <w:rsid w:val="00BB5155"/>
    <w:rPr>
      <w:b/>
      <w:bCs/>
      <w:sz w:val="20"/>
      <w:szCs w:val="20"/>
    </w:rPr>
  </w:style>
  <w:style w:type="paragraph" w:styleId="BalloonText">
    <w:name w:val="Balloon Text"/>
    <w:basedOn w:val="Normal"/>
    <w:link w:val="BalloonTextChar"/>
    <w:uiPriority w:val="99"/>
    <w:semiHidden/>
    <w:unhideWhenUsed/>
    <w:rsid w:val="00BB5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155"/>
    <w:rPr>
      <w:rFonts w:ascii="Lucida Grande" w:hAnsi="Lucida Grande" w:cs="Lucida Grande"/>
      <w:sz w:val="18"/>
      <w:szCs w:val="18"/>
    </w:rPr>
  </w:style>
  <w:style w:type="table" w:styleId="TableGrid">
    <w:name w:val="Table Grid"/>
    <w:basedOn w:val="TableNormal"/>
    <w:uiPriority w:val="59"/>
    <w:rsid w:val="005B4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1CA6"/>
    <w:rPr>
      <w:color w:val="0000FF" w:themeColor="hyperlink"/>
      <w:u w:val="single"/>
    </w:rPr>
  </w:style>
  <w:style w:type="character" w:customStyle="1" w:styleId="highlightedsearchterm">
    <w:name w:val="highlightedsearchterm"/>
    <w:basedOn w:val="DefaultParagraphFont"/>
    <w:rsid w:val="004E1CA6"/>
  </w:style>
  <w:style w:type="paragraph" w:styleId="NormalWeb">
    <w:name w:val="Normal (Web)"/>
    <w:basedOn w:val="Normal"/>
    <w:uiPriority w:val="99"/>
    <w:unhideWhenUsed/>
    <w:rsid w:val="004B29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2D3F"/>
    <w:rPr>
      <w:b/>
      <w:bCs/>
    </w:rPr>
  </w:style>
  <w:style w:type="paragraph" w:styleId="Footer">
    <w:name w:val="footer"/>
    <w:basedOn w:val="Normal"/>
    <w:link w:val="FooterChar"/>
    <w:uiPriority w:val="99"/>
    <w:unhideWhenUsed/>
    <w:rsid w:val="00365AF4"/>
    <w:pPr>
      <w:tabs>
        <w:tab w:val="center" w:pos="4320"/>
        <w:tab w:val="right" w:pos="8640"/>
      </w:tabs>
    </w:pPr>
  </w:style>
  <w:style w:type="character" w:customStyle="1" w:styleId="FooterChar">
    <w:name w:val="Footer Char"/>
    <w:basedOn w:val="DefaultParagraphFont"/>
    <w:link w:val="Footer"/>
    <w:uiPriority w:val="99"/>
    <w:rsid w:val="00365AF4"/>
  </w:style>
  <w:style w:type="character" w:styleId="PageNumber">
    <w:name w:val="page number"/>
    <w:basedOn w:val="DefaultParagraphFont"/>
    <w:uiPriority w:val="99"/>
    <w:semiHidden/>
    <w:unhideWhenUsed/>
    <w:rsid w:val="00365AF4"/>
  </w:style>
  <w:style w:type="character" w:customStyle="1" w:styleId="Heading1Char">
    <w:name w:val="Heading 1 Char"/>
    <w:basedOn w:val="DefaultParagraphFont"/>
    <w:link w:val="Heading1"/>
    <w:uiPriority w:val="9"/>
    <w:rsid w:val="00365AF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5AF4"/>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65AF4"/>
    <w:pPr>
      <w:spacing w:before="120"/>
    </w:pPr>
    <w:rPr>
      <w:b/>
    </w:rPr>
  </w:style>
  <w:style w:type="paragraph" w:styleId="TOC2">
    <w:name w:val="toc 2"/>
    <w:basedOn w:val="Normal"/>
    <w:next w:val="Normal"/>
    <w:autoRedefine/>
    <w:uiPriority w:val="39"/>
    <w:unhideWhenUsed/>
    <w:rsid w:val="00365AF4"/>
    <w:pPr>
      <w:ind w:left="240"/>
    </w:pPr>
    <w:rPr>
      <w:b/>
      <w:sz w:val="22"/>
      <w:szCs w:val="22"/>
    </w:rPr>
  </w:style>
  <w:style w:type="paragraph" w:styleId="TOC3">
    <w:name w:val="toc 3"/>
    <w:basedOn w:val="Normal"/>
    <w:next w:val="Normal"/>
    <w:autoRedefine/>
    <w:uiPriority w:val="39"/>
    <w:unhideWhenUsed/>
    <w:rsid w:val="00365AF4"/>
    <w:pPr>
      <w:ind w:left="480"/>
    </w:pPr>
    <w:rPr>
      <w:sz w:val="22"/>
      <w:szCs w:val="22"/>
    </w:rPr>
  </w:style>
  <w:style w:type="paragraph" w:styleId="TOC4">
    <w:name w:val="toc 4"/>
    <w:basedOn w:val="Normal"/>
    <w:next w:val="Normal"/>
    <w:autoRedefine/>
    <w:uiPriority w:val="39"/>
    <w:semiHidden/>
    <w:unhideWhenUsed/>
    <w:rsid w:val="00365AF4"/>
    <w:pPr>
      <w:ind w:left="720"/>
    </w:pPr>
    <w:rPr>
      <w:sz w:val="20"/>
      <w:szCs w:val="20"/>
    </w:rPr>
  </w:style>
  <w:style w:type="paragraph" w:styleId="TOC5">
    <w:name w:val="toc 5"/>
    <w:basedOn w:val="Normal"/>
    <w:next w:val="Normal"/>
    <w:autoRedefine/>
    <w:uiPriority w:val="39"/>
    <w:semiHidden/>
    <w:unhideWhenUsed/>
    <w:rsid w:val="00365AF4"/>
    <w:pPr>
      <w:ind w:left="960"/>
    </w:pPr>
    <w:rPr>
      <w:sz w:val="20"/>
      <w:szCs w:val="20"/>
    </w:rPr>
  </w:style>
  <w:style w:type="paragraph" w:styleId="TOC6">
    <w:name w:val="toc 6"/>
    <w:basedOn w:val="Normal"/>
    <w:next w:val="Normal"/>
    <w:autoRedefine/>
    <w:uiPriority w:val="39"/>
    <w:semiHidden/>
    <w:unhideWhenUsed/>
    <w:rsid w:val="00365AF4"/>
    <w:pPr>
      <w:ind w:left="1200"/>
    </w:pPr>
    <w:rPr>
      <w:sz w:val="20"/>
      <w:szCs w:val="20"/>
    </w:rPr>
  </w:style>
  <w:style w:type="paragraph" w:styleId="TOC7">
    <w:name w:val="toc 7"/>
    <w:basedOn w:val="Normal"/>
    <w:next w:val="Normal"/>
    <w:autoRedefine/>
    <w:uiPriority w:val="39"/>
    <w:semiHidden/>
    <w:unhideWhenUsed/>
    <w:rsid w:val="00365AF4"/>
    <w:pPr>
      <w:ind w:left="1440"/>
    </w:pPr>
    <w:rPr>
      <w:sz w:val="20"/>
      <w:szCs w:val="20"/>
    </w:rPr>
  </w:style>
  <w:style w:type="paragraph" w:styleId="TOC8">
    <w:name w:val="toc 8"/>
    <w:basedOn w:val="Normal"/>
    <w:next w:val="Normal"/>
    <w:autoRedefine/>
    <w:uiPriority w:val="39"/>
    <w:semiHidden/>
    <w:unhideWhenUsed/>
    <w:rsid w:val="00365AF4"/>
    <w:pPr>
      <w:ind w:left="1680"/>
    </w:pPr>
    <w:rPr>
      <w:sz w:val="20"/>
      <w:szCs w:val="20"/>
    </w:rPr>
  </w:style>
  <w:style w:type="paragraph" w:styleId="TOC9">
    <w:name w:val="toc 9"/>
    <w:basedOn w:val="Normal"/>
    <w:next w:val="Normal"/>
    <w:autoRedefine/>
    <w:uiPriority w:val="39"/>
    <w:semiHidden/>
    <w:unhideWhenUsed/>
    <w:rsid w:val="00365AF4"/>
    <w:pPr>
      <w:ind w:left="1920"/>
    </w:pPr>
    <w:rPr>
      <w:sz w:val="20"/>
      <w:szCs w:val="20"/>
    </w:rPr>
  </w:style>
  <w:style w:type="character" w:customStyle="1" w:styleId="Heading2Char">
    <w:name w:val="Heading 2 Char"/>
    <w:basedOn w:val="DefaultParagraphFont"/>
    <w:link w:val="Heading2"/>
    <w:uiPriority w:val="9"/>
    <w:rsid w:val="00365A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30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01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 w:id="207507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073">
      <w:bodyDiv w:val="1"/>
      <w:marLeft w:val="0"/>
      <w:marRight w:val="0"/>
      <w:marTop w:val="0"/>
      <w:marBottom w:val="0"/>
      <w:divBdr>
        <w:top w:val="none" w:sz="0" w:space="0" w:color="auto"/>
        <w:left w:val="none" w:sz="0" w:space="0" w:color="auto"/>
        <w:bottom w:val="none" w:sz="0" w:space="0" w:color="auto"/>
        <w:right w:val="none" w:sz="0" w:space="0" w:color="auto"/>
      </w:divBdr>
      <w:divsChild>
        <w:div w:id="1540438014">
          <w:marLeft w:val="0"/>
          <w:marRight w:val="0"/>
          <w:marTop w:val="0"/>
          <w:marBottom w:val="0"/>
          <w:divBdr>
            <w:top w:val="none" w:sz="0" w:space="0" w:color="auto"/>
            <w:left w:val="none" w:sz="0" w:space="0" w:color="auto"/>
            <w:bottom w:val="none" w:sz="0" w:space="0" w:color="auto"/>
            <w:right w:val="none" w:sz="0" w:space="0" w:color="auto"/>
          </w:divBdr>
        </w:div>
        <w:div w:id="94176740">
          <w:marLeft w:val="0"/>
          <w:marRight w:val="0"/>
          <w:marTop w:val="0"/>
          <w:marBottom w:val="0"/>
          <w:divBdr>
            <w:top w:val="none" w:sz="0" w:space="0" w:color="auto"/>
            <w:left w:val="none" w:sz="0" w:space="0" w:color="auto"/>
            <w:bottom w:val="none" w:sz="0" w:space="0" w:color="auto"/>
            <w:right w:val="none" w:sz="0" w:space="0" w:color="auto"/>
          </w:divBdr>
          <w:divsChild>
            <w:div w:id="8503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5638">
      <w:bodyDiv w:val="1"/>
      <w:marLeft w:val="0"/>
      <w:marRight w:val="0"/>
      <w:marTop w:val="0"/>
      <w:marBottom w:val="0"/>
      <w:divBdr>
        <w:top w:val="none" w:sz="0" w:space="0" w:color="auto"/>
        <w:left w:val="none" w:sz="0" w:space="0" w:color="auto"/>
        <w:bottom w:val="none" w:sz="0" w:space="0" w:color="auto"/>
        <w:right w:val="none" w:sz="0" w:space="0" w:color="auto"/>
      </w:divBdr>
      <w:divsChild>
        <w:div w:id="94136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2806">
              <w:marLeft w:val="0"/>
              <w:marRight w:val="0"/>
              <w:marTop w:val="0"/>
              <w:marBottom w:val="0"/>
              <w:divBdr>
                <w:top w:val="none" w:sz="0" w:space="0" w:color="auto"/>
                <w:left w:val="none" w:sz="0" w:space="0" w:color="auto"/>
                <w:bottom w:val="none" w:sz="0" w:space="0" w:color="auto"/>
                <w:right w:val="none" w:sz="0" w:space="0" w:color="auto"/>
              </w:divBdr>
            </w:div>
          </w:divsChild>
        </w:div>
        <w:div w:id="1803765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astmeetswe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bui@eastmeetswest.org"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mailto:jdbui@eastmeetswes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2F5B-C5CF-4E50-B1CF-337D75B2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3995C821</Template>
  <TotalTime>1</TotalTime>
  <Pages>9</Pages>
  <Words>2420</Words>
  <Characters>13798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1.	General information</vt:lpstr>
      <vt:lpstr>    2.	Organizational Capacity and Approach</vt:lpstr>
      <vt:lpstr>        Pilot Timeline</vt:lpstr>
      <vt:lpstr>        Pilot Budget</vt:lpstr>
      <vt:lpstr>    3 	Capability and Experience of Managing and Accounting for Grants</vt:lpstr>
      <vt:lpstr>    4 	Project Management Experience, Monitoring and Evaluation Capacity</vt:lpstr>
    </vt:vector>
  </TitlesOfParts>
  <Company>East Meets West Foundation</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Dien Bui</dc:creator>
  <cp:keywords/>
  <dc:description/>
  <cp:lastModifiedBy>Manny</cp:lastModifiedBy>
  <cp:revision>2</cp:revision>
  <dcterms:created xsi:type="dcterms:W3CDTF">2011-07-12T17:23:00Z</dcterms:created>
  <dcterms:modified xsi:type="dcterms:W3CDTF">2011-07-12T17:23:00Z</dcterms:modified>
</cp:coreProperties>
</file>